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EF02" w14:textId="76E20159" w:rsidR="007B0F66" w:rsidRDefault="00F142CD" w:rsidP="00FB0FB5">
      <w:pPr>
        <w:rPr>
          <w:rFonts w:ascii="BaWue Sans" w:hAnsi="BaWue Sans"/>
          <w:b/>
          <w:bCs/>
          <w:sz w:val="28"/>
          <w:szCs w:val="28"/>
        </w:rPr>
      </w:pPr>
      <w:r w:rsidRPr="00F142CD">
        <w:rPr>
          <w:rFonts w:ascii="BaWue Serif" w:hAnsi="BaWue Serif"/>
          <w:b/>
          <w:bCs/>
          <w:sz w:val="40"/>
          <w:szCs w:val="40"/>
        </w:rPr>
        <w:t>Q</w:t>
      </w:r>
      <w:r>
        <w:rPr>
          <w:rFonts w:ascii="BaWue Serif" w:hAnsi="BaWue Serif"/>
          <w:b/>
          <w:bCs/>
          <w:sz w:val="40"/>
          <w:szCs w:val="40"/>
        </w:rPr>
        <w:t>ualitätsrahmen</w:t>
      </w:r>
      <w:r w:rsidRPr="00F142CD">
        <w:rPr>
          <w:rFonts w:ascii="BaWue Serif" w:hAnsi="BaWue Serif"/>
          <w:b/>
          <w:bCs/>
          <w:sz w:val="40"/>
          <w:szCs w:val="40"/>
        </w:rPr>
        <w:t xml:space="preserve"> Beratungssituationen</w:t>
      </w:r>
      <w:r>
        <w:rPr>
          <w:rFonts w:ascii="BaWue Serif" w:hAnsi="BaWue Serif"/>
          <w:b/>
          <w:bCs/>
          <w:sz w:val="40"/>
          <w:szCs w:val="40"/>
        </w:rPr>
        <w:t xml:space="preserve"> - Protokollbogen</w:t>
      </w:r>
    </w:p>
    <w:p w14:paraId="177EC00C" w14:textId="77777777" w:rsidR="00F142CD" w:rsidRDefault="00F142CD" w:rsidP="00FB0FB5">
      <w:pPr>
        <w:rPr>
          <w:rFonts w:ascii="BaWue Sans" w:hAnsi="BaWue Sans"/>
          <w:b/>
          <w:bCs/>
          <w:sz w:val="28"/>
          <w:szCs w:val="28"/>
        </w:rPr>
      </w:pPr>
    </w:p>
    <w:p w14:paraId="772DE972" w14:textId="77777777" w:rsidR="00F142CD" w:rsidRDefault="00F142CD" w:rsidP="00FB0FB5">
      <w:pPr>
        <w:rPr>
          <w:rFonts w:ascii="BaWue Sans" w:hAnsi="BaWue Sans"/>
          <w:b/>
          <w:bCs/>
          <w:sz w:val="28"/>
          <w:szCs w:val="28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2552"/>
        <w:gridCol w:w="4673"/>
        <w:gridCol w:w="7229"/>
      </w:tblGrid>
      <w:tr w:rsidR="00F142CD" w:rsidRPr="00F142CD" w14:paraId="46EA9C8B" w14:textId="77777777" w:rsidTr="00EE2D3E">
        <w:tc>
          <w:tcPr>
            <w:tcW w:w="7225" w:type="dxa"/>
            <w:gridSpan w:val="2"/>
          </w:tcPr>
          <w:p w14:paraId="41B9B9F6" w14:textId="77777777" w:rsidR="00F142CD" w:rsidRPr="00F142CD" w:rsidRDefault="00F142CD" w:rsidP="00F142CD">
            <w:pPr>
              <w:autoSpaceDE w:val="0"/>
              <w:autoSpaceDN w:val="0"/>
              <w:adjustRightInd w:val="0"/>
              <w:spacing w:line="259" w:lineRule="auto"/>
              <w:rPr>
                <w:rFonts w:ascii="BaWue Sans" w:hAnsi="BaWue Sans"/>
                <w:sz w:val="22"/>
                <w:lang w:eastAsia="ja-JP"/>
              </w:rPr>
            </w:pPr>
            <w:r w:rsidRPr="00F142CD">
              <w:rPr>
                <w:rFonts w:ascii="BaWue Sans" w:hAnsi="BaWue Sans"/>
                <w:sz w:val="22"/>
                <w:lang w:eastAsia="ja-JP"/>
              </w:rPr>
              <w:t>Beratungsanlass:</w:t>
            </w:r>
            <w:r w:rsidRPr="00F142CD">
              <w:rPr>
                <w:rFonts w:ascii="BaWue Sans" w:hAnsi="BaWue Sans"/>
                <w:sz w:val="22"/>
                <w:lang w:eastAsia="ja-JP"/>
              </w:rPr>
              <w:tab/>
            </w:r>
          </w:p>
        </w:tc>
        <w:tc>
          <w:tcPr>
            <w:tcW w:w="7229" w:type="dxa"/>
          </w:tcPr>
          <w:p w14:paraId="0D1FE085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2"/>
                <w:lang w:eastAsia="ja-JP"/>
              </w:rPr>
            </w:pPr>
            <w:r w:rsidRPr="00F142CD">
              <w:rPr>
                <w:rFonts w:ascii="BaWue Sans" w:hAnsi="BaWue Sans"/>
                <w:sz w:val="22"/>
                <w:lang w:eastAsia="ja-JP"/>
              </w:rPr>
              <w:t>Zu beratende Person:</w:t>
            </w:r>
          </w:p>
          <w:p w14:paraId="0D41AC9E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2"/>
                <w:lang w:eastAsia="ja-JP"/>
              </w:rPr>
            </w:pPr>
            <w:r w:rsidRPr="00F142CD">
              <w:rPr>
                <w:rFonts w:ascii="BaWue Sans" w:hAnsi="BaWue Sans"/>
                <w:sz w:val="22"/>
                <w:lang w:eastAsia="ja-JP"/>
              </w:rPr>
              <w:t>Beraterin:</w:t>
            </w:r>
          </w:p>
          <w:p w14:paraId="1AF5131A" w14:textId="59F5B8D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2"/>
                <w:lang w:eastAsia="ja-JP"/>
              </w:rPr>
            </w:pPr>
          </w:p>
        </w:tc>
      </w:tr>
      <w:tr w:rsidR="00F142CD" w:rsidRPr="00F142CD" w14:paraId="5815C8AA" w14:textId="77777777" w:rsidTr="00EE2D3E">
        <w:tc>
          <w:tcPr>
            <w:tcW w:w="2552" w:type="dxa"/>
            <w:shd w:val="clear" w:color="auto" w:fill="00B0F0"/>
          </w:tcPr>
          <w:p w14:paraId="31846101" w14:textId="77777777" w:rsidR="00F142CD" w:rsidRPr="00F142CD" w:rsidRDefault="00F142CD" w:rsidP="00F142CD">
            <w:pPr>
              <w:spacing w:line="259" w:lineRule="auto"/>
              <w:jc w:val="center"/>
              <w:rPr>
                <w:rFonts w:ascii="BaWue Sans" w:hAnsi="BaWue Sans"/>
                <w:b/>
                <w:sz w:val="20"/>
                <w:szCs w:val="20"/>
              </w:rPr>
            </w:pPr>
            <w:r w:rsidRPr="00F142CD">
              <w:rPr>
                <w:rFonts w:ascii="BaWue Sans" w:hAnsi="BaWue Sans"/>
                <w:b/>
                <w:sz w:val="20"/>
                <w:szCs w:val="20"/>
              </w:rPr>
              <w:t xml:space="preserve">Qualitätsbereich </w:t>
            </w:r>
          </w:p>
        </w:tc>
        <w:tc>
          <w:tcPr>
            <w:tcW w:w="11902" w:type="dxa"/>
            <w:gridSpan w:val="2"/>
            <w:shd w:val="clear" w:color="auto" w:fill="00B0F0"/>
          </w:tcPr>
          <w:p w14:paraId="3E8A3B68" w14:textId="77777777" w:rsidR="00F142CD" w:rsidRPr="00F142CD" w:rsidRDefault="00F142CD" w:rsidP="00F142CD">
            <w:pPr>
              <w:spacing w:line="259" w:lineRule="auto"/>
              <w:jc w:val="center"/>
              <w:rPr>
                <w:rFonts w:ascii="BaWue Sans" w:hAnsi="BaWue Sans"/>
                <w:b/>
                <w:sz w:val="20"/>
                <w:szCs w:val="20"/>
              </w:rPr>
            </w:pPr>
          </w:p>
        </w:tc>
      </w:tr>
      <w:tr w:rsidR="00F142CD" w:rsidRPr="00F142CD" w14:paraId="4F3C014B" w14:textId="77777777" w:rsidTr="00F142CD">
        <w:tc>
          <w:tcPr>
            <w:tcW w:w="14454" w:type="dxa"/>
            <w:gridSpan w:val="3"/>
            <w:shd w:val="clear" w:color="auto" w:fill="D9D9D9"/>
          </w:tcPr>
          <w:p w14:paraId="56C01153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  <w:r w:rsidRPr="00F142CD">
              <w:rPr>
                <w:rFonts w:ascii="BaWue Sans" w:hAnsi="BaWue Sans"/>
                <w:b/>
                <w:sz w:val="20"/>
                <w:szCs w:val="20"/>
              </w:rPr>
              <w:t>QB 1: Rahmenbedingungen</w:t>
            </w:r>
          </w:p>
          <w:p w14:paraId="216588C0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0"/>
                <w:szCs w:val="20"/>
              </w:rPr>
            </w:pPr>
            <w:r w:rsidRPr="00F142CD">
              <w:rPr>
                <w:rFonts w:ascii="BaWue Sans" w:hAnsi="BaWue Sans"/>
                <w:sz w:val="20"/>
                <w:szCs w:val="20"/>
              </w:rPr>
              <w:t xml:space="preserve">Vorbereitungszeit für die zu beratende Person / Angemessene Dauer des Beratungsgesprächs / Passende Gesprächsumgebung (störungsfreier Raum, dialogische Sitzordnung, angenehme Atmosphäre, Barrierefreie (ggf. barrierearme) Kommunikation </w:t>
            </w:r>
          </w:p>
        </w:tc>
      </w:tr>
      <w:tr w:rsidR="00F142CD" w:rsidRPr="00F142CD" w14:paraId="30FD96FB" w14:textId="77777777" w:rsidTr="00EE2D3E">
        <w:tc>
          <w:tcPr>
            <w:tcW w:w="14454" w:type="dxa"/>
            <w:gridSpan w:val="3"/>
          </w:tcPr>
          <w:p w14:paraId="4C0A8864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</w:p>
          <w:p w14:paraId="4B1F3E9E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</w:p>
          <w:p w14:paraId="08B20885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0"/>
                <w:szCs w:val="20"/>
              </w:rPr>
            </w:pPr>
          </w:p>
        </w:tc>
      </w:tr>
      <w:tr w:rsidR="00F142CD" w:rsidRPr="00F142CD" w14:paraId="398FA841" w14:textId="77777777" w:rsidTr="00F142CD">
        <w:tc>
          <w:tcPr>
            <w:tcW w:w="14454" w:type="dxa"/>
            <w:gridSpan w:val="3"/>
            <w:shd w:val="clear" w:color="auto" w:fill="D9D9D9"/>
          </w:tcPr>
          <w:p w14:paraId="0B95EBA9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  <w:r w:rsidRPr="00F142CD">
              <w:rPr>
                <w:rFonts w:ascii="BaWue Sans" w:hAnsi="BaWue Sans"/>
                <w:b/>
                <w:sz w:val="20"/>
                <w:szCs w:val="20"/>
              </w:rPr>
              <w:t>QB 2: Zielgerichtetheit-Strukturiertheit</w:t>
            </w:r>
          </w:p>
          <w:p w14:paraId="117E6905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0"/>
                <w:szCs w:val="20"/>
              </w:rPr>
            </w:pPr>
            <w:r w:rsidRPr="00F142CD">
              <w:rPr>
                <w:rFonts w:ascii="BaWue Sans" w:hAnsi="BaWue Sans"/>
                <w:sz w:val="20"/>
                <w:szCs w:val="20"/>
              </w:rPr>
              <w:t xml:space="preserve">Transparenz bzgl. Ziele und Ablauf / Struktur, die im Hinblick auf die Kompetenzentwicklung der </w:t>
            </w:r>
            <w:proofErr w:type="gramStart"/>
            <w:r w:rsidRPr="00F142CD">
              <w:rPr>
                <w:rFonts w:ascii="BaWue Sans" w:hAnsi="BaWue Sans"/>
                <w:sz w:val="20"/>
                <w:szCs w:val="20"/>
              </w:rPr>
              <w:t>zu beratenden Person</w:t>
            </w:r>
            <w:proofErr w:type="gramEnd"/>
            <w:r w:rsidRPr="00F142CD">
              <w:rPr>
                <w:rFonts w:ascii="BaWue Sans" w:hAnsi="BaWue Sans"/>
                <w:sz w:val="20"/>
                <w:szCs w:val="20"/>
              </w:rPr>
              <w:t xml:space="preserve"> zielführend ist</w:t>
            </w:r>
          </w:p>
        </w:tc>
      </w:tr>
      <w:tr w:rsidR="00F142CD" w:rsidRPr="00F142CD" w14:paraId="1F890287" w14:textId="77777777" w:rsidTr="00EE2D3E">
        <w:tc>
          <w:tcPr>
            <w:tcW w:w="14454" w:type="dxa"/>
            <w:gridSpan w:val="3"/>
          </w:tcPr>
          <w:p w14:paraId="57368B5F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</w:p>
          <w:p w14:paraId="628D9978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</w:p>
          <w:p w14:paraId="6D458840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0"/>
                <w:szCs w:val="20"/>
              </w:rPr>
            </w:pPr>
          </w:p>
        </w:tc>
      </w:tr>
      <w:tr w:rsidR="00F142CD" w:rsidRPr="00F142CD" w14:paraId="7F41B12D" w14:textId="77777777" w:rsidTr="00F142CD">
        <w:tc>
          <w:tcPr>
            <w:tcW w:w="14454" w:type="dxa"/>
            <w:gridSpan w:val="3"/>
            <w:shd w:val="clear" w:color="auto" w:fill="D9D9D9"/>
          </w:tcPr>
          <w:p w14:paraId="6632B182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  <w:r w:rsidRPr="00F142CD">
              <w:rPr>
                <w:rFonts w:ascii="BaWue Sans" w:hAnsi="BaWue Sans"/>
                <w:b/>
                <w:sz w:val="20"/>
                <w:szCs w:val="20"/>
              </w:rPr>
              <w:t>QB 3: Beziehungsqualität</w:t>
            </w:r>
          </w:p>
          <w:p w14:paraId="41D0B878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0"/>
                <w:szCs w:val="20"/>
              </w:rPr>
            </w:pPr>
            <w:r w:rsidRPr="00F142CD">
              <w:rPr>
                <w:rFonts w:ascii="BaWue Sans" w:hAnsi="BaWue Sans"/>
                <w:sz w:val="20"/>
                <w:szCs w:val="20"/>
              </w:rPr>
              <w:t xml:space="preserve">Wertschätzende und empathische Haltung / Sachlich-konstruktive Rückmeldungen / Balance von Nähe und Distanz  </w:t>
            </w:r>
          </w:p>
        </w:tc>
      </w:tr>
      <w:tr w:rsidR="00F142CD" w:rsidRPr="00F142CD" w14:paraId="0A849FC6" w14:textId="77777777" w:rsidTr="00EE2D3E">
        <w:tc>
          <w:tcPr>
            <w:tcW w:w="14454" w:type="dxa"/>
            <w:gridSpan w:val="3"/>
          </w:tcPr>
          <w:p w14:paraId="16370688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</w:p>
          <w:p w14:paraId="58025A8F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</w:p>
          <w:p w14:paraId="6D5900E7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0"/>
                <w:szCs w:val="20"/>
              </w:rPr>
            </w:pPr>
          </w:p>
        </w:tc>
      </w:tr>
      <w:tr w:rsidR="00F142CD" w:rsidRPr="00F142CD" w14:paraId="24AED88F" w14:textId="77777777" w:rsidTr="00F142CD">
        <w:tc>
          <w:tcPr>
            <w:tcW w:w="14454" w:type="dxa"/>
            <w:gridSpan w:val="3"/>
            <w:shd w:val="clear" w:color="auto" w:fill="D9D9D9"/>
          </w:tcPr>
          <w:p w14:paraId="1CF21A2A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  <w:r w:rsidRPr="00F142CD">
              <w:rPr>
                <w:rFonts w:ascii="BaWue Sans" w:hAnsi="BaWue Sans"/>
                <w:b/>
                <w:sz w:val="20"/>
                <w:szCs w:val="20"/>
              </w:rPr>
              <w:t>QB 3: Gesprächsführung</w:t>
            </w:r>
          </w:p>
          <w:p w14:paraId="0EE28FAF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0"/>
                <w:szCs w:val="20"/>
              </w:rPr>
            </w:pPr>
            <w:r w:rsidRPr="00F142CD">
              <w:rPr>
                <w:rFonts w:ascii="BaWue Sans" w:hAnsi="BaWue Sans"/>
                <w:sz w:val="20"/>
                <w:szCs w:val="20"/>
              </w:rPr>
              <w:t>Dialogische Gesprächsführung / Beratungsqualitäten (Empathie, Akzeptanz, Kongruenz, Authentizität) / Gesprächstechniken (Spiegeln, Paraphrasieren, Zusammenfassen / Fragen und Impulse, die die zu beratene Person unterstützen, selbständig Alternativen zu entwickeln</w:t>
            </w:r>
          </w:p>
        </w:tc>
      </w:tr>
      <w:tr w:rsidR="00F142CD" w:rsidRPr="00F142CD" w14:paraId="188A536A" w14:textId="77777777" w:rsidTr="00EE2D3E">
        <w:tc>
          <w:tcPr>
            <w:tcW w:w="14454" w:type="dxa"/>
            <w:gridSpan w:val="3"/>
          </w:tcPr>
          <w:p w14:paraId="62B6B153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</w:p>
          <w:p w14:paraId="15BDB304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</w:p>
          <w:p w14:paraId="29896F94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0"/>
                <w:szCs w:val="20"/>
              </w:rPr>
            </w:pPr>
          </w:p>
        </w:tc>
      </w:tr>
      <w:tr w:rsidR="00F142CD" w:rsidRPr="00F142CD" w14:paraId="004BE0D2" w14:textId="77777777" w:rsidTr="00F142CD">
        <w:tc>
          <w:tcPr>
            <w:tcW w:w="14454" w:type="dxa"/>
            <w:gridSpan w:val="3"/>
            <w:shd w:val="clear" w:color="auto" w:fill="D9D9D9"/>
          </w:tcPr>
          <w:p w14:paraId="0DAECA66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  <w:r w:rsidRPr="00F142CD">
              <w:rPr>
                <w:rFonts w:ascii="BaWue Sans" w:hAnsi="BaWue Sans"/>
                <w:b/>
                <w:sz w:val="20"/>
                <w:szCs w:val="20"/>
              </w:rPr>
              <w:t xml:space="preserve">QB 4: Sonderpädagogische Fachlichkeit </w:t>
            </w:r>
          </w:p>
          <w:p w14:paraId="05976A13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0"/>
                <w:szCs w:val="20"/>
              </w:rPr>
            </w:pPr>
            <w:r w:rsidRPr="00F142CD">
              <w:rPr>
                <w:rFonts w:ascii="BaWue Sans" w:hAnsi="BaWue Sans"/>
                <w:sz w:val="20"/>
                <w:szCs w:val="20"/>
              </w:rPr>
              <w:t xml:space="preserve">Zentrale fachliche Aspekte werden thematisiert / Fachlich fundiertes Argumentieren / Feedback ist für die Kompetenzentwicklung der </w:t>
            </w:r>
            <w:proofErr w:type="gramStart"/>
            <w:r w:rsidRPr="00F142CD">
              <w:rPr>
                <w:rFonts w:ascii="BaWue Sans" w:hAnsi="BaWue Sans"/>
                <w:sz w:val="20"/>
                <w:szCs w:val="20"/>
              </w:rPr>
              <w:t>zu beratenden Person</w:t>
            </w:r>
            <w:proofErr w:type="gramEnd"/>
            <w:r w:rsidRPr="00F142CD">
              <w:rPr>
                <w:rFonts w:ascii="BaWue Sans" w:hAnsi="BaWue Sans"/>
                <w:sz w:val="20"/>
                <w:szCs w:val="20"/>
              </w:rPr>
              <w:t xml:space="preserve"> hilfreich / </w:t>
            </w:r>
          </w:p>
          <w:p w14:paraId="1CCD052A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0"/>
                <w:szCs w:val="20"/>
              </w:rPr>
            </w:pPr>
            <w:r w:rsidRPr="00F142CD">
              <w:rPr>
                <w:rFonts w:ascii="BaWue Sans" w:hAnsi="BaWue Sans"/>
                <w:sz w:val="20"/>
                <w:szCs w:val="20"/>
              </w:rPr>
              <w:t>Zielvereinbarungen werden gemeinsam getroffen und dokumentiert</w:t>
            </w:r>
          </w:p>
        </w:tc>
      </w:tr>
      <w:tr w:rsidR="00F142CD" w:rsidRPr="00F142CD" w14:paraId="3DB8225B" w14:textId="77777777" w:rsidTr="00EE2D3E">
        <w:tc>
          <w:tcPr>
            <w:tcW w:w="14454" w:type="dxa"/>
            <w:gridSpan w:val="3"/>
          </w:tcPr>
          <w:p w14:paraId="79FC937B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</w:p>
          <w:p w14:paraId="69B2C28E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b/>
                <w:sz w:val="20"/>
                <w:szCs w:val="20"/>
              </w:rPr>
            </w:pPr>
          </w:p>
          <w:p w14:paraId="09DEA6F8" w14:textId="77777777" w:rsidR="00F142CD" w:rsidRPr="00F142CD" w:rsidRDefault="00F142CD" w:rsidP="00F142CD">
            <w:pPr>
              <w:spacing w:line="259" w:lineRule="auto"/>
              <w:rPr>
                <w:rFonts w:ascii="BaWue Sans" w:hAnsi="BaWue Sans"/>
                <w:sz w:val="20"/>
                <w:szCs w:val="20"/>
              </w:rPr>
            </w:pPr>
          </w:p>
        </w:tc>
      </w:tr>
    </w:tbl>
    <w:p w14:paraId="75BDA5A3" w14:textId="77777777" w:rsidR="00DF72FF" w:rsidRPr="00FB0FB5" w:rsidRDefault="00DF72FF" w:rsidP="00F142CD">
      <w:pPr>
        <w:rPr>
          <w:rFonts w:ascii="BaWue Sans" w:hAnsi="BaWue Sans"/>
          <w:sz w:val="22"/>
        </w:rPr>
      </w:pPr>
    </w:p>
    <w:sectPr w:rsidR="00DF72FF" w:rsidRPr="00FB0FB5" w:rsidSect="00751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98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1C1C" w14:textId="77777777" w:rsidR="00FB0FB5" w:rsidRDefault="00FB0FB5" w:rsidP="001E03DE">
      <w:r>
        <w:separator/>
      </w:r>
    </w:p>
  </w:endnote>
  <w:endnote w:type="continuationSeparator" w:id="0">
    <w:p w14:paraId="318E16F6" w14:textId="77777777" w:rsidR="00FB0FB5" w:rsidRDefault="00FB0FB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EDE8" w14:textId="77777777" w:rsidR="00FB0FB5" w:rsidRDefault="00FB0F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550414"/>
      <w:docPartObj>
        <w:docPartGallery w:val="Page Numbers (Bottom of Page)"/>
        <w:docPartUnique/>
      </w:docPartObj>
    </w:sdtPr>
    <w:sdtEndPr/>
    <w:sdtContent>
      <w:p w14:paraId="0C157B0A" w14:textId="29FF0C42" w:rsidR="00DF72FF" w:rsidRDefault="00DF72F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33353D" w14:textId="7A814A65" w:rsidR="00FB0FB5" w:rsidRPr="00DF72FF" w:rsidRDefault="00DF72FF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 xml:space="preserve">Abteilung Sonderpädagogik / </w:t>
    </w:r>
    <w:r w:rsidR="003A23BD">
      <w:rPr>
        <w:rFonts w:ascii="BaWue Sans" w:hAnsi="BaWue Sans"/>
        <w:szCs w:val="16"/>
      </w:rPr>
      <w:t>26.09.2024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30092"/>
      <w:docPartObj>
        <w:docPartGallery w:val="Page Numbers (Bottom of Page)"/>
        <w:docPartUnique/>
      </w:docPartObj>
    </w:sdtPr>
    <w:sdtEndPr/>
    <w:sdtContent>
      <w:p w14:paraId="6D6F3EAE" w14:textId="1055F643" w:rsidR="00FB0FB5" w:rsidRDefault="00FB0FB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2AE73F" w14:textId="1C16834F" w:rsidR="00FB0FB5" w:rsidRPr="00EE2D45" w:rsidRDefault="00FE3D9C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>Abteilung Sonderpädagogik</w:t>
    </w:r>
    <w:r w:rsidR="00F165DA" w:rsidRPr="00EE2D45">
      <w:rPr>
        <w:rFonts w:ascii="BaWue Sans" w:hAnsi="BaWue Sans"/>
        <w:szCs w:val="16"/>
      </w:rPr>
      <w:t xml:space="preserve"> /</w:t>
    </w:r>
    <w:r w:rsidR="00EE2D45" w:rsidRPr="00EE2D45">
      <w:rPr>
        <w:rFonts w:ascii="BaWue Sans" w:hAnsi="BaWue Sans"/>
        <w:szCs w:val="16"/>
      </w:rPr>
      <w:t xml:space="preserve"> CC BY-SA 4.0 </w:t>
    </w:r>
    <w:r w:rsidR="00F165DA" w:rsidRPr="00EE2D45">
      <w:rPr>
        <w:rFonts w:ascii="BaWue Sans" w:hAnsi="BaWue Sans"/>
        <w:szCs w:val="16"/>
      </w:rPr>
      <w:t>/ Datum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5293" w14:textId="77777777" w:rsidR="00FB0FB5" w:rsidRDefault="00FB0FB5" w:rsidP="001E03DE">
      <w:r>
        <w:separator/>
      </w:r>
    </w:p>
  </w:footnote>
  <w:footnote w:type="continuationSeparator" w:id="0">
    <w:p w14:paraId="4C65001C" w14:textId="77777777" w:rsidR="00FB0FB5" w:rsidRDefault="00FB0FB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BB41" w14:textId="77777777" w:rsidR="00FB0FB5" w:rsidRDefault="00FB0F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0848" w14:textId="45D64834" w:rsidR="00FB0FB5" w:rsidRDefault="00DF72FF">
    <w:pPr>
      <w:pStyle w:val="Kopfzeile"/>
    </w:pPr>
    <w:r>
      <w:rPr>
        <w:noProof/>
      </w:rPr>
      <w:drawing>
        <wp:inline distT="0" distB="0" distL="0" distR="0" wp14:anchorId="489CBBF2" wp14:editId="3FE31093">
          <wp:extent cx="4675505" cy="485775"/>
          <wp:effectExtent l="0" t="0" r="0" b="952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7FD9" w14:textId="3CCD9B58" w:rsidR="00FB0FB5" w:rsidRDefault="00EE2D45" w:rsidP="007B0F66">
    <w:pPr>
      <w:pStyle w:val="Kopfzeile"/>
    </w:pPr>
    <w:r>
      <w:rPr>
        <w:noProof/>
      </w:rPr>
      <w:drawing>
        <wp:inline distT="0" distB="0" distL="0" distR="0" wp14:anchorId="36CD5A3B" wp14:editId="7F0B6C69">
          <wp:extent cx="4675505" cy="485775"/>
          <wp:effectExtent l="0" t="0" r="0" b="952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B5"/>
    <w:rsid w:val="001A2103"/>
    <w:rsid w:val="001D21F6"/>
    <w:rsid w:val="001E03DE"/>
    <w:rsid w:val="002011A9"/>
    <w:rsid w:val="002223B8"/>
    <w:rsid w:val="00296589"/>
    <w:rsid w:val="003722BD"/>
    <w:rsid w:val="003A23BD"/>
    <w:rsid w:val="0044650F"/>
    <w:rsid w:val="004F0311"/>
    <w:rsid w:val="005268C2"/>
    <w:rsid w:val="00536D71"/>
    <w:rsid w:val="005F3A29"/>
    <w:rsid w:val="00605813"/>
    <w:rsid w:val="006145E5"/>
    <w:rsid w:val="00751811"/>
    <w:rsid w:val="007B0F66"/>
    <w:rsid w:val="008253CA"/>
    <w:rsid w:val="00864B86"/>
    <w:rsid w:val="008A7911"/>
    <w:rsid w:val="008B3AB8"/>
    <w:rsid w:val="009533B3"/>
    <w:rsid w:val="00956048"/>
    <w:rsid w:val="009935DA"/>
    <w:rsid w:val="009A2124"/>
    <w:rsid w:val="009B3A9D"/>
    <w:rsid w:val="009C05F9"/>
    <w:rsid w:val="00AD331C"/>
    <w:rsid w:val="00C22DA6"/>
    <w:rsid w:val="00C47C66"/>
    <w:rsid w:val="00CD6932"/>
    <w:rsid w:val="00D23961"/>
    <w:rsid w:val="00D6349B"/>
    <w:rsid w:val="00DF72FF"/>
    <w:rsid w:val="00E23AC7"/>
    <w:rsid w:val="00E53093"/>
    <w:rsid w:val="00E80BCA"/>
    <w:rsid w:val="00E96D9E"/>
    <w:rsid w:val="00EE2D45"/>
    <w:rsid w:val="00F142CD"/>
    <w:rsid w:val="00F165DA"/>
    <w:rsid w:val="00F44A67"/>
    <w:rsid w:val="00FB0FB5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67E3"/>
  <w15:chartTrackingRefBased/>
  <w15:docId w15:val="{AAB0EC3D-118B-4F7D-A8C3-2551982F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B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0F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0F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0F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0F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0F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0F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0F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FB0F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0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0FB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0FB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0FB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0F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0F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0F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0F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0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0F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0F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0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0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0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0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0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0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0FB5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142CD"/>
    <w:pPr>
      <w:spacing w:line="240" w:lineRule="auto"/>
    </w:pPr>
    <w:rPr>
      <w:rFonts w:ascii="Liberation Serif" w:eastAsia="Times New Roman" w:hAnsi="Liberation Serif" w:cs="Lohit Hindi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Gromer, Benjamin (Seminar GYMSOP Freiburg)</dc:creator>
  <cp:keywords/>
  <dc:description/>
  <cp:lastModifiedBy>Gromer, Benjamin (Seminar GYMSOP Freiburg)</cp:lastModifiedBy>
  <cp:revision>4</cp:revision>
  <dcterms:created xsi:type="dcterms:W3CDTF">2025-10-07T09:01:00Z</dcterms:created>
  <dcterms:modified xsi:type="dcterms:W3CDTF">2025-10-07T09:07:00Z</dcterms:modified>
</cp:coreProperties>
</file>