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start="-709" w:end="-711"/>
        <w:rPr/>
      </w:pPr>
      <w:r>
        <w:rPr>
          <w:b/>
          <w:bCs/>
          <w:sz w:val="28"/>
          <w:szCs w:val="28"/>
        </w:rPr>
        <w:t xml:space="preserve">Planung zur Ableitung individueller Bildungsangebote </w:t>
      </w:r>
    </w:p>
    <w:p>
      <w:pPr>
        <w:pStyle w:val="Normal"/>
        <w:spacing w:before="0" w:after="120"/>
        <w:ind w:start="-709" w:end="-711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</w:r>
    </w:p>
    <w:p>
      <w:pPr>
        <w:pStyle w:val="Normal"/>
        <w:spacing w:before="0" w:after="120"/>
        <w:ind w:start="-709" w:end="-711"/>
        <w:rPr/>
      </w:pPr>
      <w:r>
        <w:rPr>
          <w:color w:themeColor="text1" w:val="000000"/>
          <w:sz w:val="16"/>
          <w:szCs w:val="16"/>
        </w:rPr>
        <w:t xml:space="preserve">Mit Hilfe dieses Dokuments werden die individuellen Voraussetzungen, unter denen Lernen in der Lehr-Lern-Sequenz stattfindet, dargestellt. Grundlage hierfür sind die diagnostischen Daten aus bereits bestehenden Dokumentationen (z.B. Individueller Bildungsplan) und weiteren Daten unterrichtsbegleitender Diagnostik. Ziel ist es, passende individuelle Bildungsangebote </w:t>
      </w:r>
      <w:r>
        <w:rPr>
          <w:b/>
          <w:bCs/>
          <w:color w:themeColor="text1" w:val="000000"/>
          <w:sz w:val="16"/>
          <w:szCs w:val="16"/>
        </w:rPr>
        <w:t>bezogen auf die aktuelle Unterrichtsstunde</w:t>
      </w:r>
      <w:r>
        <w:rPr>
          <w:color w:themeColor="text1" w:val="000000"/>
          <w:sz w:val="16"/>
          <w:szCs w:val="16"/>
        </w:rPr>
        <w:t xml:space="preserve"> (LLS) abzuleiten. Markante, </w:t>
      </w:r>
      <w:r>
        <w:rPr>
          <w:color w:themeColor="text1" w:val="000000"/>
          <w:sz w:val="16"/>
          <w:szCs w:val="16"/>
        </w:rPr>
        <w:t>r</w:t>
      </w:r>
      <w:r>
        <w:rPr>
          <w:color w:themeColor="text1" w:val="000000"/>
          <w:sz w:val="16"/>
          <w:szCs w:val="16"/>
        </w:rPr>
        <w:t xml:space="preserve">elevante </w:t>
      </w:r>
      <w:r>
        <w:rPr>
          <w:color w:themeColor="text1" w:val="000000"/>
          <w:sz w:val="16"/>
          <w:szCs w:val="16"/>
        </w:rPr>
        <w:t>Stich</w:t>
      </w:r>
      <w:r>
        <w:rPr>
          <w:color w:themeColor="text1" w:val="000000"/>
          <w:sz w:val="16"/>
          <w:szCs w:val="16"/>
        </w:rPr>
        <w:t>p</w:t>
      </w:r>
      <w:r>
        <w:rPr>
          <w:color w:themeColor="text1" w:val="000000"/>
          <w:sz w:val="16"/>
          <w:szCs w:val="16"/>
        </w:rPr>
        <w:t>unkte</w:t>
      </w:r>
      <w:r>
        <w:rPr>
          <w:color w:themeColor="text1" w:val="000000"/>
          <w:sz w:val="16"/>
          <w:szCs w:val="16"/>
        </w:rPr>
        <w:t xml:space="preserve"> genügen. </w:t>
      </w:r>
    </w:p>
    <w:p>
      <w:pPr>
        <w:pStyle w:val="Normal"/>
        <w:spacing w:before="0" w:after="120"/>
        <w:ind w:start="-709" w:end="-711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</w:r>
    </w:p>
    <w:tbl>
      <w:tblPr>
        <w:tblStyle w:val="Tabellenraster"/>
        <w:tblW w:w="10456" w:type="dxa"/>
        <w:jc w:val="start"/>
        <w:tblInd w:w="-7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4957"/>
        <w:gridCol w:w="5499"/>
      </w:tblGrid>
      <w:tr>
        <w:trPr>
          <w:trHeight w:val="1142" w:hRule="atLeast"/>
        </w:trPr>
        <w:tc>
          <w:tcPr>
            <w:tcW w:w="1045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de-DE" w:eastAsia="en-US" w:bidi="ar-SA"/>
              </w:rPr>
              <w:t>Name Schülerin/Schüler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i/>
                <w:iCs/>
                <w:kern w:val="0"/>
                <w:sz w:val="16"/>
                <w:szCs w:val="16"/>
                <w:lang w:val="de-DE" w:eastAsia="en-US" w:bidi="ar-SA"/>
              </w:rPr>
              <w:t>(Alter, Bildungsgang, seit wann an der Schule/ in der Klasse, Diagnose(n))</w:t>
            </w:r>
          </w:p>
        </w:tc>
      </w:tr>
      <w:tr>
        <w:trPr>
          <w:trHeight w:val="552" w:hRule="atLeast"/>
        </w:trPr>
        <w:tc>
          <w:tcPr>
            <w:tcW w:w="10456" w:type="dxa"/>
            <w:gridSpan w:val="2"/>
            <w:tcBorders>
              <w:bottom w:val="nil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de-DE" w:eastAsia="en-US" w:bidi="ar-SA"/>
              </w:rPr>
              <w:t xml:space="preserve">Aktivität &amp; Teilhabe </w:t>
            </w:r>
            <w:r>
              <w:rPr>
                <w:rFonts w:eastAsia="Calibri" w:cs="Arial"/>
                <w:kern w:val="0"/>
                <w:sz w:val="16"/>
                <w:szCs w:val="16"/>
                <w:lang w:val="de-DE" w:eastAsia="en-US" w:bidi="ar-SA"/>
              </w:rPr>
              <w:t>bezogen auf</w:t>
            </w: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16"/>
                <w:szCs w:val="16"/>
                <w:lang w:val="de-DE" w:eastAsia="en-US" w:bidi="ar-SA"/>
              </w:rPr>
              <w:t>vorhandene Kompetenzen und zu erreichenden Kompetenzen der Lehr-Lern-Sequenz</w:t>
            </w:r>
          </w:p>
        </w:tc>
      </w:tr>
      <w:tr>
        <w:trPr>
          <w:trHeight w:val="899" w:hRule="atLeast"/>
        </w:trPr>
        <w:tc>
          <w:tcPr>
            <w:tcW w:w="4957" w:type="dxa"/>
            <w:tcBorders/>
            <w:shd w:color="auto" w:fill="auto" w:val="clear"/>
          </w:tcPr>
          <w:p>
            <w:pPr>
              <w:pStyle w:val="NoSpacing"/>
              <w:widowControl w:val="false"/>
              <w:spacing w:before="0" w:after="0"/>
              <w:ind w:start="-5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Cs w:val="22"/>
                <w:lang w:val="de-DE" w:eastAsia="en-US" w:bidi="ar-SA"/>
              </w:rPr>
            </w:r>
          </w:p>
          <w:p>
            <w:pPr>
              <w:pStyle w:val="NoSpacing"/>
              <w:widowControl w:val="false"/>
              <w:spacing w:before="0" w:after="0"/>
              <w:ind w:start="-5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Cs w:val="22"/>
                <w:lang w:val="de-DE" w:eastAsia="en-US" w:bidi="ar-SA"/>
              </w:rPr>
            </w:r>
          </w:p>
          <w:p>
            <w:pPr>
              <w:pStyle w:val="NoSpacing"/>
              <w:widowControl w:val="false"/>
              <w:spacing w:before="0" w:after="0"/>
              <w:ind w:start="-5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Cs w:val="22"/>
                <w:lang w:val="de-DE" w:eastAsia="en-US" w:bidi="ar-SA"/>
              </w:rPr>
            </w:r>
          </w:p>
          <w:p>
            <w:pPr>
              <w:pStyle w:val="NoSpacing"/>
              <w:widowControl w:val="false"/>
              <w:spacing w:before="0" w:after="0"/>
              <w:ind w:start="-5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5499" w:type="dxa"/>
            <w:tcBorders/>
            <w:shd w:color="auto" w:fill="auto" w:val="clear"/>
          </w:tcPr>
          <w:p>
            <w:pPr>
              <w:pStyle w:val="NoSpacing"/>
              <w:widowControl w:val="fals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899" w:hRule="atLeast"/>
        </w:trPr>
        <w:tc>
          <w:tcPr>
            <w:tcW w:w="10456" w:type="dxa"/>
            <w:gridSpan w:val="2"/>
            <w:tcBorders>
              <w:top w:val="nil"/>
            </w:tcBorders>
            <w:shd w:color="F9F9F9" w:fill="F9F9F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2"/>
                <w:lang w:val="de-DE" w:eastAsia="en-US" w:bidi="ar-SA"/>
              </w:rPr>
              <w:t>Zielsetzungen für die Lehr-Lern-Sequenz</w:t>
            </w: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16"/>
                <w:szCs w:val="16"/>
                <w:lang w:val="de-DE" w:eastAsia="en-US" w:bidi="ar-SA"/>
              </w:rPr>
              <w:t>(Welche individuellen fach- und entwicklungsbezogenen Ziele sollen erreicht werden?)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</w:r>
          </w:p>
        </w:tc>
      </w:tr>
      <w:tr>
        <w:trPr>
          <w:trHeight w:val="436" w:hRule="atLeast"/>
        </w:trPr>
        <w:tc>
          <w:tcPr>
            <w:tcW w:w="10456" w:type="dxa"/>
            <w:gridSpan w:val="2"/>
            <w:tcBorders/>
            <w:shd w:color="auto" w:fill="DDDDDD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de-DE" w:eastAsia="en-US" w:bidi="ar-SA"/>
              </w:rPr>
              <w:t xml:space="preserve">Relevante Personbezogene Faktoren </w:t>
            </w:r>
            <w:r>
              <w:rPr>
                <w:rFonts w:eastAsia="Calibri" w:cs="Arial"/>
                <w:kern w:val="0"/>
                <w:sz w:val="16"/>
                <w:szCs w:val="16"/>
                <w:lang w:val="de-DE" w:eastAsia="en-US" w:bidi="ar-SA"/>
              </w:rPr>
              <w:t>(Förderliche und/oder hemmende Faktoren)</w:t>
            </w:r>
          </w:p>
        </w:tc>
      </w:tr>
      <w:tr>
        <w:trPr>
          <w:trHeight w:val="981" w:hRule="atLeast"/>
        </w:trPr>
        <w:tc>
          <w:tcPr>
            <w:tcW w:w="49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  <w:bCs/>
              </w:rPr>
            </w:pPr>
            <w:r>
              <w:rPr>
                <w:rFonts w:eastAsia="Calibri" w:cs="Arial"/>
                <w:bCs/>
                <w:kern w:val="0"/>
                <w:sz w:val="20"/>
                <w:szCs w:val="22"/>
                <w:lang w:val="de-DE" w:eastAsia="en-US" w:bidi="ar-SA"/>
              </w:rPr>
            </w:r>
          </w:p>
        </w:tc>
        <w:tc>
          <w:tcPr>
            <w:tcW w:w="5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  <w:bCs/>
              </w:rPr>
            </w:pPr>
            <w:r>
              <w:rPr>
                <w:rFonts w:eastAsia="Calibri" w:cs="Arial"/>
                <w:bCs/>
                <w:kern w:val="0"/>
                <w:sz w:val="20"/>
                <w:szCs w:val="22"/>
                <w:lang w:val="de-DE" w:eastAsia="en-US" w:bidi="ar-SA"/>
              </w:rPr>
            </w:r>
          </w:p>
        </w:tc>
      </w:tr>
      <w:tr>
        <w:trPr>
          <w:trHeight w:val="689" w:hRule="atLeast"/>
        </w:trPr>
        <w:tc>
          <w:tcPr>
            <w:tcW w:w="4957" w:type="dxa"/>
            <w:tcBorders/>
            <w:shd w:color="auto" w:fill="DDDDDD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2"/>
                <w:lang w:val="de-DE" w:eastAsia="en-US" w:bidi="ar-SA"/>
              </w:rPr>
              <w:t xml:space="preserve">Relevante Körperfunktionen/ -strukturen 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de-DE" w:eastAsia="en-US" w:bidi="ar-SA"/>
              </w:rPr>
              <w:t>(Förderliche und/oder hemmende Faktoren)</w:t>
            </w:r>
          </w:p>
        </w:tc>
        <w:tc>
          <w:tcPr>
            <w:tcW w:w="5499" w:type="dxa"/>
            <w:tcBorders/>
            <w:shd w:color="auto" w:fill="DDDDDD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b/>
                <w:kern w:val="0"/>
                <w:sz w:val="20"/>
                <w:szCs w:val="22"/>
                <w:lang w:val="de-DE" w:eastAsia="en-US" w:bidi="ar-SA"/>
              </w:rPr>
              <w:t>Relevante Umweltfaktoren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de-DE" w:eastAsia="en-US" w:bidi="ar-SA"/>
              </w:rPr>
              <w:t>(Förderliche und/oder hemmende Faktoren)</w:t>
            </w:r>
          </w:p>
        </w:tc>
      </w:tr>
      <w:tr>
        <w:trPr/>
        <w:tc>
          <w:tcPr>
            <w:tcW w:w="49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</w:r>
          </w:p>
        </w:tc>
        <w:tc>
          <w:tcPr>
            <w:tcW w:w="5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</w:r>
          </w:p>
        </w:tc>
      </w:tr>
      <w:tr>
        <w:trPr>
          <w:trHeight w:val="706" w:hRule="atLeast"/>
        </w:trPr>
        <w:tc>
          <w:tcPr>
            <w:tcW w:w="10456" w:type="dxa"/>
            <w:gridSpan w:val="2"/>
            <w:tcBorders/>
            <w:shd w:color="auto" w:fill="DDDDD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2"/>
                <w:lang w:val="de-DE" w:eastAsia="en-US" w:bidi="ar-SA"/>
              </w:rPr>
              <w:t xml:space="preserve">Individuelle Bildungsangebote </w:t>
            </w:r>
            <w:r>
              <w:rPr>
                <w:rFonts w:eastAsia="Calibri" w:cs="Arial"/>
                <w:kern w:val="0"/>
                <w:sz w:val="16"/>
                <w:szCs w:val="16"/>
                <w:lang w:val="de-DE" w:eastAsia="en-US" w:bidi="ar-SA"/>
              </w:rPr>
              <w:t>(abgleitet aus den oben beschriebenen Zielsetzungen und beschriebenen ICF-Faktoren)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bCs/>
                <w:kern w:val="0"/>
                <w:sz w:val="16"/>
                <w:szCs w:val="16"/>
                <w:lang w:val="de-DE" w:eastAsia="en-US" w:bidi="ar-SA"/>
              </w:rPr>
              <w:t>Wodurch kann die beschriebene Kompetenz erworben und überprüft werden?</w:t>
            </w:r>
          </w:p>
        </w:tc>
      </w:tr>
      <w:tr>
        <w:trPr>
          <w:trHeight w:val="1211" w:hRule="atLeast"/>
        </w:trPr>
        <w:tc>
          <w:tcPr>
            <w:tcW w:w="49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  <w:t>Zielsetzung</w:t>
            </w:r>
          </w:p>
        </w:tc>
        <w:tc>
          <w:tcPr>
            <w:tcW w:w="5499" w:type="dxa"/>
            <w:tcBorders/>
          </w:tcPr>
          <w:p>
            <w:pPr>
              <w:pStyle w:val="NoSpacing"/>
              <w:widowControl w:val="fals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Cs w:val="22"/>
                <w:lang w:val="de-DE" w:eastAsia="en-US" w:bidi="ar-SA"/>
              </w:rPr>
              <w:t>Individuelles Bildungsangebot</w:t>
            </w:r>
          </w:p>
        </w:tc>
      </w:tr>
      <w:tr>
        <w:trPr>
          <w:trHeight w:val="1211" w:hRule="atLeast"/>
        </w:trPr>
        <w:tc>
          <w:tcPr>
            <w:tcW w:w="49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  <w:t>Zielsetzung</w:t>
            </w:r>
          </w:p>
        </w:tc>
        <w:tc>
          <w:tcPr>
            <w:tcW w:w="5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  <w:t>Individuelles Bildungsangebot</w:t>
            </w:r>
          </w:p>
        </w:tc>
      </w:tr>
      <w:tr>
        <w:trPr>
          <w:trHeight w:val="1211" w:hRule="atLeast"/>
        </w:trPr>
        <w:tc>
          <w:tcPr>
            <w:tcW w:w="49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Times New Roman" w:cs="Arial"/>
                <w:bCs/>
                <w:kern w:val="0"/>
                <w:sz w:val="20"/>
                <w:szCs w:val="22"/>
                <w:lang w:val="de-CH" w:eastAsia="de-DE" w:bidi="ar-SA"/>
              </w:rPr>
              <w:t>ggf. mittelfristige Zielsetzung</w:t>
            </w:r>
          </w:p>
        </w:tc>
        <w:tc>
          <w:tcPr>
            <w:tcW w:w="5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2"/>
                <w:lang w:val="de-DE" w:eastAsia="en-US" w:bidi="ar-SA"/>
              </w:rPr>
              <w:t>Individuelles Bildungsangebot</w:t>
            </w:r>
          </w:p>
        </w:tc>
      </w:tr>
    </w:tbl>
    <w:p>
      <w:pPr>
        <w:pStyle w:val="Normal"/>
        <w:spacing w:lineRule="auto" w:line="259"/>
        <w:rPr>
          <w:szCs w:val="24"/>
          <w:lang w:val="en-US"/>
        </w:rPr>
      </w:pPr>
      <w:r>
        <w:rPr>
          <w:szCs w:val="24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985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mbri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aWue Sans">
    <w:charset w:val="01" w:characterSet="utf-8"/>
    <w:family w:val="swiss"/>
    <w:pitch w:val="variable"/>
  </w:font>
  <w:font w:name="Gudea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96550414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ind w:start="-709"/>
      <w:rPr>
        <w:rFonts w:ascii="BaWue Sans" w:hAnsi="BaWue Sans"/>
        <w:szCs w:val="16"/>
      </w:rPr>
    </w:pPr>
    <w:r>
      <w:rPr>
        <w:rFonts w:ascii="BaWue Sans" w:hAnsi="BaWue Sans"/>
        <w:szCs w:val="16"/>
      </w:rPr>
      <w:t>Abteilung Sonderpädagogi</w:t>
    </w:r>
    <w:r>
      <w:rPr>
        <w:rFonts w:ascii="BaWue Sans" w:hAnsi="BaWue Sans"/>
        <w:sz w:val="16"/>
        <w:szCs w:val="16"/>
      </w:rPr>
      <w:t xml:space="preserve">k / </w:t>
    </w:r>
    <w:r>
      <w:rPr>
        <w:rFonts w:ascii="Gudea" w:hAnsi="Gudea"/>
        <w:sz w:val="16"/>
        <w:szCs w:val="16"/>
      </w:rPr>
      <w:t xml:space="preserve">Bereich 1: Geistige Entwicklung/ </w:t>
    </w:r>
    <w:r>
      <w:rPr>
        <w:rFonts w:ascii="Gudea" w:hAnsi="Gudea"/>
        <w:sz w:val="16"/>
        <w:szCs w:val="16"/>
      </w:rPr>
      <w:t>K</w:t>
    </w:r>
    <w:r>
      <w:rPr>
        <w:rFonts w:ascii="Gudea" w:hAnsi="Gudea"/>
        <w:sz w:val="16"/>
        <w:szCs w:val="16"/>
      </w:rPr>
      <w:t xml:space="preserve">örperliche und motorische Entwicklung / </w:t>
    </w:r>
    <w:r>
      <w:rPr>
        <w:rFonts w:ascii="BaWue Sans" w:hAnsi="BaWue Sans"/>
        <w:sz w:val="16"/>
        <w:szCs w:val="16"/>
      </w:rPr>
      <w:t>06.10.2025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96550414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ind w:start="-709"/>
      <w:rPr>
        <w:rFonts w:ascii="BaWue Sans" w:hAnsi="BaWue Sans"/>
        <w:szCs w:val="16"/>
      </w:rPr>
    </w:pPr>
    <w:r>
      <w:rPr>
        <w:rFonts w:ascii="BaWue Sans" w:hAnsi="BaWue Sans"/>
        <w:szCs w:val="16"/>
      </w:rPr>
      <w:t>Abteilung Sonderpädagogi</w:t>
    </w:r>
    <w:r>
      <w:rPr>
        <w:rFonts w:ascii="BaWue Sans" w:hAnsi="BaWue Sans"/>
        <w:sz w:val="16"/>
        <w:szCs w:val="16"/>
      </w:rPr>
      <w:t xml:space="preserve">k / </w:t>
    </w:r>
    <w:r>
      <w:rPr>
        <w:rFonts w:ascii="Gudea" w:hAnsi="Gudea"/>
        <w:sz w:val="16"/>
        <w:szCs w:val="16"/>
      </w:rPr>
      <w:t xml:space="preserve">Bereich 1: Geistige Entwicklung/ </w:t>
    </w:r>
    <w:r>
      <w:rPr>
        <w:rFonts w:ascii="Gudea" w:hAnsi="Gudea"/>
        <w:sz w:val="16"/>
        <w:szCs w:val="16"/>
      </w:rPr>
      <w:t>K</w:t>
    </w:r>
    <w:r>
      <w:rPr>
        <w:rFonts w:ascii="Gudea" w:hAnsi="Gudea"/>
        <w:sz w:val="16"/>
        <w:szCs w:val="16"/>
      </w:rPr>
      <w:t xml:space="preserve">örperliche und motorische Entwicklung / </w:t>
    </w:r>
    <w:r>
      <w:rPr>
        <w:rFonts w:ascii="BaWue Sans" w:hAnsi="BaWue Sans"/>
        <w:sz w:val="16"/>
        <w:szCs w:val="16"/>
      </w:rPr>
      <w:t>06.10.2025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false"/>
      <w:overflowPunct w:val="true"/>
      <w:bidi w:val="0"/>
      <w:spacing w:lineRule="auto" w:line="240" w:before="0" w:after="0"/>
      <w:ind w:hanging="0" w:start="-680" w:end="0"/>
      <w:jc w:val="start"/>
      <w:textAlignment w:val="baseline"/>
      <w:rPr/>
    </w:pPr>
    <w:r>
      <w:rPr/>
      <w:drawing>
        <wp:inline distT="0" distB="0" distL="0" distR="0">
          <wp:extent cx="4675505" cy="485775"/>
          <wp:effectExtent l="0" t="0" r="0" b="0"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false"/>
      <w:overflowPunct w:val="true"/>
      <w:bidi w:val="0"/>
      <w:spacing w:lineRule="auto" w:line="240" w:before="0" w:after="0"/>
      <w:ind w:hanging="0" w:start="-680" w:end="0"/>
      <w:jc w:val="start"/>
      <w:textAlignment w:val="baseline"/>
      <w:rPr/>
    </w:pPr>
    <w:r>
      <w:rPr/>
      <w:drawing>
        <wp:inline distT="0" distB="0" distL="0" distR="0">
          <wp:extent cx="4675505" cy="485775"/>
          <wp:effectExtent l="0" t="0" r="0" b="0"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4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start"/>
    </w:pPr>
    <w:rPr>
      <w:rFonts w:ascii="Arial" w:hAnsi="Arial" w:eastAsia="Calibri" w:cs="Arial" w:eastAsiaTheme="minorHAnsi"/>
      <w:color w:val="auto"/>
      <w:kern w:val="0"/>
      <w:sz w:val="24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fb0fb5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fb0fb5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rsid w:val="00fb0fb5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fb0fb5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fb0fb5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fb0fb5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fb0fb5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fb0fb5"/>
    <w:pPr>
      <w:keepNext w:val="true"/>
      <w:keepLines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fb0fb5"/>
    <w:pPr>
      <w:keepNext w:val="true"/>
      <w:keepLines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MTimesNewRoman8Zchn" w:customStyle="1">
    <w:name w:val="KM_TimesNewRoman_8 Zchn"/>
    <w:basedOn w:val="DefaultParagraphFont"/>
    <w:link w:val="KMTimesNewRoman8"/>
    <w:qFormat/>
    <w:rsid w:val="00296589"/>
    <w:rPr>
      <w:rFonts w:ascii="Times New Roman" w:hAnsi="Times New Roman" w:cs="Times New Roman"/>
      <w:sz w:val="16"/>
    </w:rPr>
  </w:style>
  <w:style w:type="character" w:styleId="FuzeileZchn" w:customStyle="1">
    <w:name w:val="Fußzeile Zchn"/>
    <w:basedOn w:val="DefaultParagraphFont"/>
    <w:uiPriority w:val="99"/>
    <w:qFormat/>
    <w:rsid w:val="00f44a67"/>
    <w:rPr>
      <w:rFonts w:eastAsia="Times New Roman" w:cs="Times New Roman"/>
      <w:sz w:val="16"/>
      <w:szCs w:val="20"/>
      <w:lang w:eastAsia="de-DE"/>
    </w:rPr>
  </w:style>
  <w:style w:type="character" w:styleId="KopfzeileZchn" w:customStyle="1">
    <w:name w:val="Kopfzeile Zchn"/>
    <w:basedOn w:val="DefaultParagraphFont"/>
    <w:qFormat/>
    <w:rsid w:val="00f44a67"/>
    <w:rPr>
      <w:rFonts w:eastAsia="Times New Roman" w:cs="Times New Roman"/>
      <w:szCs w:val="20"/>
      <w:lang w:eastAsia="de-DE"/>
    </w:rPr>
  </w:style>
  <w:style w:type="character" w:styleId="PageNumber">
    <w:name w:val="page number"/>
    <w:basedOn w:val="DefaultParagraphFont"/>
    <w:rsid w:val="00f44a67"/>
    <w:rPr/>
  </w:style>
  <w:style w:type="character" w:styleId="berschrift1Zchn" w:customStyle="1">
    <w:name w:val="Überschrift 1 Zchn"/>
    <w:basedOn w:val="DefaultParagraphFont"/>
    <w:uiPriority w:val="9"/>
    <w:qFormat/>
    <w:rsid w:val="00fb0fb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fb0fb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qFormat/>
    <w:rsid w:val="00fb0fb5"/>
    <w:rPr>
      <w:rFonts w:ascii="Calibri" w:hAnsi="Calibri" w:eastAsia="" w:cs="" w:asciiTheme="minorHAnsi" w:cstheme="majorBidi" w:eastAsiaTheme="majorEastAsia" w:hAnsiTheme="minorHAnsi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color w:themeColor="accent1" w:themeShade="bf" w:val="365F9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fb0fb5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fb0fb5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fb0fb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b0fb5"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fb0fb5"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sid w:val="00fb0fb5"/>
    <w:rPr>
      <w:b/>
      <w:bCs/>
      <w:smallCaps/>
      <w:color w:themeColor="accent1" w:themeShade="bf" w:val="365F91"/>
      <w:spacing w:val="5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MTimesNewRoman8" w:customStyle="1">
    <w:name w:val="KM_TimesNewRoman_8"/>
    <w:basedOn w:val="Normal"/>
    <w:link w:val="KMTimesNewRoman8Zchn"/>
    <w:qFormat/>
    <w:rsid w:val="00296589"/>
    <w:pPr>
      <w:tabs>
        <w:tab w:val="clear" w:pos="708"/>
        <w:tab w:val="center" w:pos="1985" w:leader="none"/>
      </w:tabs>
      <w:jc w:val="center"/>
    </w:pPr>
    <w:rPr>
      <w:rFonts w:ascii="Times New Roman" w:hAnsi="Times New Roman" w:cs="Times New Roman"/>
      <w:sz w:val="16"/>
    </w:rPr>
  </w:style>
  <w:style w:type="paragraph" w:styleId="Einrckung0" w:customStyle="1">
    <w:name w:val="Einrückung0"/>
    <w:basedOn w:val="Normal"/>
    <w:qFormat/>
    <w:rsid w:val="00f44a67"/>
    <w:pPr>
      <w:overflowPunct w:val="true"/>
      <w:spacing w:lineRule="atLeast" w:line="360"/>
      <w:textAlignment w:val="baseline"/>
    </w:pPr>
    <w:rPr>
      <w:rFonts w:eastAsia="Times New Roman" w:cs="Times New Roman"/>
      <w:szCs w:val="20"/>
      <w:lang w:eastAsia="de-DE"/>
    </w:rPr>
  </w:style>
  <w:style w:type="paragraph" w:styleId="Einrckung1" w:customStyle="1">
    <w:name w:val="Einrückung1"/>
    <w:basedOn w:val="Normal"/>
    <w:qFormat/>
    <w:rsid w:val="00f44a67"/>
    <w:pPr>
      <w:overflowPunct w:val="true"/>
      <w:spacing w:lineRule="atLeast" w:line="360"/>
      <w:ind w:hanging="425" w:start="425"/>
      <w:textAlignment w:val="baseline"/>
    </w:pPr>
    <w:rPr>
      <w:rFonts w:eastAsia="Times New Roman" w:cs="Times New Roman"/>
      <w:szCs w:val="20"/>
      <w:lang w:eastAsia="de-DE"/>
    </w:rPr>
  </w:style>
  <w:style w:type="paragraph" w:styleId="Einrckung2" w:customStyle="1">
    <w:name w:val="Einrückung2"/>
    <w:basedOn w:val="Normal"/>
    <w:qFormat/>
    <w:rsid w:val="00f44a67"/>
    <w:pPr>
      <w:overflowPunct w:val="true"/>
      <w:spacing w:lineRule="atLeast" w:line="360"/>
      <w:ind w:hanging="425" w:start="850"/>
      <w:textAlignment w:val="baseline"/>
    </w:pPr>
    <w:rPr>
      <w:rFonts w:eastAsia="Times New Roman" w:cs="Times New Roman"/>
      <w:szCs w:val="20"/>
      <w:lang w:eastAsia="de-DE"/>
    </w:rPr>
  </w:style>
  <w:style w:type="paragraph" w:styleId="Einrckung3" w:customStyle="1">
    <w:name w:val="Einrückung3"/>
    <w:basedOn w:val="Normal"/>
    <w:qFormat/>
    <w:rsid w:val="00f44a67"/>
    <w:pPr>
      <w:overflowPunct w:val="true"/>
      <w:spacing w:lineRule="atLeast" w:line="360"/>
      <w:ind w:hanging="425" w:start="1276"/>
      <w:textAlignment w:val="baseline"/>
    </w:pPr>
    <w:rPr>
      <w:rFonts w:eastAsia="Times New Roman" w:cs="Times New Roman"/>
      <w:szCs w:val="20"/>
      <w:lang w:eastAsia="de-DE"/>
    </w:rPr>
  </w:style>
  <w:style w:type="paragraph" w:styleId="Einrckung4" w:customStyle="1">
    <w:name w:val="Einrückung4"/>
    <w:basedOn w:val="Normal"/>
    <w:qFormat/>
    <w:rsid w:val="00f44a67"/>
    <w:pPr>
      <w:overflowPunct w:val="true"/>
      <w:spacing w:lineRule="atLeast" w:line="360"/>
      <w:ind w:hanging="425" w:start="1701"/>
      <w:textAlignment w:val="baseline"/>
    </w:pPr>
    <w:rPr>
      <w:rFonts w:eastAsia="Times New Roman" w:cs="Times New Roman"/>
      <w:szCs w:val="20"/>
      <w:lang w:eastAsia="de-DE"/>
    </w:rPr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Normal"/>
    <w:link w:val="FuzeileZchn"/>
    <w:uiPriority w:val="99"/>
    <w:rsid w:val="00f44a67"/>
    <w:pPr>
      <w:tabs>
        <w:tab w:val="clear" w:pos="708"/>
        <w:tab w:val="center" w:pos="4536" w:leader="none"/>
        <w:tab w:val="right" w:pos="9072" w:leader="none"/>
      </w:tabs>
      <w:overflowPunct w:val="true"/>
      <w:textAlignment w:val="baseline"/>
    </w:pPr>
    <w:rPr>
      <w:rFonts w:eastAsia="Times New Roman" w:cs="Times New Roman"/>
      <w:sz w:val="16"/>
      <w:szCs w:val="20"/>
      <w:lang w:eastAsia="de-DE"/>
    </w:rPr>
  </w:style>
  <w:style w:type="paragraph" w:styleId="Header">
    <w:name w:val="header"/>
    <w:basedOn w:val="Normal"/>
    <w:link w:val="KopfzeileZchn"/>
    <w:rsid w:val="00f44a67"/>
    <w:pPr>
      <w:tabs>
        <w:tab w:val="clear" w:pos="708"/>
        <w:tab w:val="center" w:pos="4536" w:leader="none"/>
        <w:tab w:val="right" w:pos="9072" w:leader="none"/>
      </w:tabs>
      <w:overflowPunct w:val="true"/>
      <w:textAlignment w:val="baseline"/>
    </w:pPr>
    <w:rPr>
      <w:rFonts w:eastAsia="Times New Roman" w:cs="Times New Roman"/>
      <w:szCs w:val="20"/>
      <w:lang w:eastAsia="de-DE"/>
    </w:rPr>
  </w:style>
  <w:style w:type="paragraph" w:styleId="Title">
    <w:name w:val="Title"/>
    <w:basedOn w:val="Normal"/>
    <w:next w:val="Normal"/>
    <w:link w:val="TitelZchn"/>
    <w:uiPriority w:val="10"/>
    <w:qFormat/>
    <w:rsid w:val="00fb0fb5"/>
    <w:pPr>
      <w:spacing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fb0fb5"/>
    <w:pPr>
      <w:spacing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fb0fb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b0fb5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fb0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uiPriority w:val="1"/>
    <w:qFormat/>
    <w:rsid w:val="002f1c88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Calibri" w:eastAsiaTheme="minorHAnsi"/>
      <w:color w:val="auto"/>
      <w:kern w:val="0"/>
      <w:sz w:val="22"/>
      <w:szCs w:val="22"/>
      <w:lang w:val="de-DE" w:eastAsia="en-US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2f1c88"/>
    <w:pPr>
      <w:spacing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F286F-B8BE-444A-9B0E-C68A9A57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LibreOffice/25.8.1.1$MacOSX_AARCH64 LibreOffice_project/54047653041915e595ad4e45cccea684809c77b5</Application>
  <AppVersion>15.0000</AppVersion>
  <Pages>1</Pages>
  <Words>169</Words>
  <Characters>1406</Characters>
  <CharactersWithSpaces>1555</CharactersWithSpaces>
  <Paragraphs>25</Paragraphs>
  <Company>BITBW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2025-10-06T15:57:00Z</dcterms:created>
  <dc:creator>Gromer, Benjamin (Seminar GYMSOP Freiburg)</dc:creator>
  <dc:description/>
  <dc:language>de-DE</dc:language>
  <cp:lastModifiedBy/>
  <dcterms:modified xsi:type="dcterms:W3CDTF">2025-10-31T15:10:10Z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