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/>
      </w:pPr>
      <w:r>
        <w:rPr>
          <w:b/>
          <w:bCs/>
          <w:color w:themeColor="text1" w:val="000000"/>
          <w:sz w:val="28"/>
          <w:szCs w:val="28"/>
        </w:rPr>
        <w:t>Beschreibung der individuellen Lernvoraussetzungen</w:t>
      </w:r>
      <w:r>
        <w:rPr>
          <w:b/>
          <w:bCs/>
          <w:color w:themeColor="text1" w:val="000000"/>
          <w:szCs w:val="24"/>
        </w:rPr>
        <w:t xml:space="preserve"> </w:t>
      </w:r>
    </w:p>
    <w:p>
      <w:pPr>
        <w:pStyle w:val="Normal"/>
        <w:spacing w:lineRule="auto" w:line="276"/>
        <w:rPr/>
      </w:pPr>
      <w:r>
        <w:rPr>
          <w:color w:themeColor="text1" w:val="000000"/>
          <w:sz w:val="18"/>
          <w:szCs w:val="18"/>
        </w:rPr>
        <w:t>Es werden die Aspekte dargestellt, die für die geplante Lehr-Lern-Sequenz relevant sind.</w:t>
      </w:r>
    </w:p>
    <w:p>
      <w:pPr>
        <w:pStyle w:val="Normal"/>
        <w:spacing w:lineRule="auto" w:line="276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tbl>
      <w:tblPr>
        <w:tblStyle w:val="Tabellenraster"/>
        <w:tblW w:w="935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532"/>
        <w:gridCol w:w="4824"/>
      </w:tblGrid>
      <w:tr>
        <w:trPr/>
        <w:tc>
          <w:tcPr>
            <w:tcW w:w="935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de-DE" w:eastAsia="en-US" w:bidi="ar-SA"/>
              </w:rPr>
              <w:t>Name Schülerin/ Schüler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Arial"/>
                <w:bCs/>
                <w:kern w:val="0"/>
                <w:sz w:val="16"/>
                <w:szCs w:val="16"/>
                <w:lang w:val="de-DE" w:eastAsia="en-US" w:bidi="ar-SA"/>
              </w:rPr>
              <w:t>(Alter, Bildungsgang, Schulbesuchsjahr)</w:t>
            </w:r>
          </w:p>
          <w:p>
            <w:pPr>
              <w:pStyle w:val="p1"/>
              <w:widowControl/>
              <w:spacing w:before="120" w:after="12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9356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Personbezogene Faktoren</w:t>
            </w:r>
          </w:p>
        </w:tc>
      </w:tr>
      <w:tr>
        <w:trPr/>
        <w:tc>
          <w:tcPr>
            <w:tcW w:w="4532" w:type="dxa"/>
            <w:tcBorders>
              <w:end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>
              <w:start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9356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Aktivitäten und Teilhabe sowie Vorwissen zum Thema</w:t>
            </w:r>
          </w:p>
        </w:tc>
      </w:tr>
      <w:tr>
        <w:trPr/>
        <w:tc>
          <w:tcPr>
            <w:tcW w:w="4532" w:type="dxa"/>
            <w:tcBorders>
              <w:end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2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2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>
              <w:start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2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2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2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4532" w:type="dxa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Körperfunktionen und Körperstrukturen</w:t>
            </w:r>
          </w:p>
        </w:tc>
        <w:tc>
          <w:tcPr>
            <w:tcW w:w="4824" w:type="dxa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Diagnosen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before="0" w:after="0"/>
              <w:ind w:start="360"/>
              <w:jc w:val="star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4824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9356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Umweltfaktoren</w:t>
            </w:r>
          </w:p>
        </w:tc>
      </w:tr>
      <w:tr>
        <w:trPr/>
        <w:tc>
          <w:tcPr>
            <w:tcW w:w="4532" w:type="dxa"/>
            <w:tcBorders>
              <w:end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3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3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>
              <w:start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3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3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4532" w:type="dxa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Zielformulierungen</w:t>
            </w:r>
          </w:p>
        </w:tc>
        <w:tc>
          <w:tcPr>
            <w:tcW w:w="482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de-DE" w:eastAsia="en-US" w:bidi="ar-SA"/>
              </w:rPr>
              <w:t>Individuelles Bildungsangebot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cs="Arial"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ggf. mittelfristige Zielsetzung</w:t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cs="Arial"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cs="Arial"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cs="Arial"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uppressAutoHyphens w:val="true"/>
        <w:rPr>
          <w:b/>
          <w:bCs/>
          <w:sz w:val="22"/>
        </w:rPr>
      </w:pPr>
      <w:r>
        <w:rPr>
          <w:b/>
          <w:bCs/>
          <w:sz w:val="22"/>
        </w:rPr>
      </w:r>
      <w:r>
        <w:br w:type="page"/>
      </w:r>
    </w:p>
    <w:p>
      <w:pPr>
        <w:pStyle w:val="Normal"/>
        <w:spacing w:before="0" w:after="0"/>
        <w:rPr>
          <w:b/>
          <w:bCs/>
          <w:sz w:val="22"/>
        </w:rPr>
      </w:pPr>
      <w:r>
        <w:rPr>
          <w:b/>
          <w:bCs/>
          <w:sz w:val="22"/>
        </w:rPr>
        <w:t>Anhang</w:t>
      </w:r>
    </w:p>
    <w:p>
      <w:pPr>
        <w:pStyle w:val="Normal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Die folgende Auflistung gibt einen Überblick über inhaltliche Aspekte der einzelnen Bereiche für die </w:t>
      </w:r>
      <w:r>
        <w:rPr>
          <w:color w:val="000000"/>
          <w:sz w:val="20"/>
          <w:szCs w:val="20"/>
        </w:rPr>
        <w:t>Beschreibung der individuellen Lernvoraussetzungen einer Schülerin / eines Schülers.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Für die Beschreibung der individuellen Lernvoraussetzungen für eine konkrete Lehr-Lern-Sequenz werden die Aspekte ausgewählt, die für die jeweilige Stunde relevant sind.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Die Auflistung erhebt keinen Anspruch auf Vollständigkeit und muss ggf. ergänzt und angepasst werden.</w:t>
      </w:r>
    </w:p>
    <w:p>
      <w:pPr>
        <w:pStyle w:val="ListParagraph"/>
        <w:widowControl w:val="false"/>
        <w:suppressAutoHyphens w:val="true"/>
        <w:ind w:start="0"/>
        <w:rPr>
          <w:rFonts w:eastAsia="Calibri" w:cs="Calibri"/>
          <w:b/>
          <w:bCs/>
          <w:color w:val="000000"/>
          <w:sz w:val="22"/>
        </w:rPr>
      </w:pPr>
      <w:r>
        <w:rPr>
          <w:rFonts w:eastAsia="Calibri" w:cs="Calibri"/>
          <w:b/>
          <w:bCs/>
          <w:color w:val="000000"/>
          <w:sz w:val="22"/>
        </w:rPr>
      </w:r>
    </w:p>
    <w:tbl>
      <w:tblPr>
        <w:tblStyle w:val="Tabellenraster"/>
        <w:tblW w:w="935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532"/>
        <w:gridCol w:w="4824"/>
      </w:tblGrid>
      <w:tr>
        <w:trPr/>
        <w:tc>
          <w:tcPr>
            <w:tcW w:w="9356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Personbezogene Faktoren</w:t>
            </w:r>
          </w:p>
        </w:tc>
      </w:tr>
      <w:tr>
        <w:trPr/>
        <w:tc>
          <w:tcPr>
            <w:tcW w:w="4532" w:type="dxa"/>
            <w:tcBorders>
              <w:end w:val="dotted" w:sz="4" w:space="0" w:color="000000"/>
            </w:tcBorders>
          </w:tcPr>
          <w:p>
            <w:pPr>
              <w:pStyle w:val="p1"/>
              <w:widowControl/>
              <w:spacing w:before="0" w:after="12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de-DE" w:bidi="ar-SA"/>
              </w:rPr>
              <w:t>Erhoben durch Beobachtungen</w:t>
            </w: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 xml:space="preserve"> durch Befragung von Schüler:innen und Bezugspersonen, individuelle Bildungspläne, Berichte.</w:t>
            </w:r>
          </w:p>
          <w:p>
            <w:pPr>
              <w:pStyle w:val="p1"/>
              <w:widowControl/>
              <w:numPr>
                <w:ilvl w:val="0"/>
                <w:numId w:val="10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Interessen, Motive</w:t>
            </w:r>
          </w:p>
          <w:p>
            <w:pPr>
              <w:pStyle w:val="p1"/>
              <w:widowControl/>
              <w:numPr>
                <w:ilvl w:val="0"/>
                <w:numId w:val="10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Einstellungen</w:t>
            </w:r>
          </w:p>
          <w:p>
            <w:pPr>
              <w:pStyle w:val="p1"/>
              <w:widowControl/>
              <w:numPr>
                <w:ilvl w:val="0"/>
                <w:numId w:val="10"/>
              </w:numPr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Gewohnheiten</w:t>
            </w:r>
          </w:p>
          <w:p>
            <w:pPr>
              <w:pStyle w:val="p1"/>
              <w:widowControl/>
              <w:spacing w:before="0" w:after="0"/>
              <w:ind w:hanging="0" w:start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824" w:type="dxa"/>
            <w:tcBorders>
              <w:start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1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Selbstkonzept und Selbstvertrauen</w:t>
            </w:r>
          </w:p>
          <w:p>
            <w:pPr>
              <w:pStyle w:val="p1"/>
              <w:widowControl/>
              <w:numPr>
                <w:ilvl w:val="0"/>
                <w:numId w:val="1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Offenheit gegenüber neuen Erfahrunge</w:t>
            </w:r>
          </w:p>
          <w:p>
            <w:pPr>
              <w:pStyle w:val="p1"/>
              <w:widowControl/>
              <w:numPr>
                <w:ilvl w:val="0"/>
                <w:numId w:val="1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Überdauernde emotionale Faktoren (z.B. Zufriedenheit, Ausgeglichenheit, Ruhe, Anspannung, Besorgnis, Ängste …)</w:t>
            </w:r>
          </w:p>
          <w:p>
            <w:pPr>
              <w:pStyle w:val="p1"/>
              <w:widowControl/>
              <w:numPr>
                <w:ilvl w:val="0"/>
                <w:numId w:val="1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Einbindung in das soziale Umfeld</w:t>
            </w:r>
          </w:p>
          <w:p>
            <w:pPr>
              <w:pStyle w:val="p1"/>
              <w:widowControl/>
              <w:numPr>
                <w:ilvl w:val="0"/>
                <w:numId w:val="11"/>
              </w:numPr>
              <w:spacing w:before="0" w:after="0"/>
              <w:jc w:val="start"/>
              <w:rPr>
                <w:rFonts w:ascii="Arial" w:hAnsi="Arial" w:cs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  <w:t>Zuverlässigkeit</w:t>
            </w:r>
          </w:p>
        </w:tc>
      </w:tr>
      <w:tr>
        <w:trPr/>
        <w:tc>
          <w:tcPr>
            <w:tcW w:w="9356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Aktivitäten und Teilhabe sowie Vorwissen zum Thema</w:t>
            </w:r>
          </w:p>
        </w:tc>
      </w:tr>
      <w:tr>
        <w:trPr/>
        <w:tc>
          <w:tcPr>
            <w:tcW w:w="4532" w:type="dxa"/>
            <w:tcBorders>
              <w:end w:val="dotted" w:sz="4" w:space="0" w:color="000000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  <w:t>Erhoben durch Beobachtungen</w:t>
            </w: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 xml:space="preserve"> durch Befragung von Schüler:innen und Bezugspersonen, Kompetenzstanderhebungen, individuelle Bildungspläne, Zeugnisse, Berichte.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Vorwissen und Vorerfahrungen zum Thema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start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Lesen &amp; Schreiben</w:t>
            </w:r>
          </w:p>
        </w:tc>
        <w:tc>
          <w:tcPr>
            <w:tcW w:w="4824" w:type="dxa"/>
            <w:tcBorders>
              <w:start w:val="dotted" w:sz="4" w:space="0" w:color="000000"/>
            </w:tcBorders>
          </w:tcPr>
          <w:p>
            <w:pPr>
              <w:pStyle w:val="p1"/>
              <w:widowControl/>
              <w:numPr>
                <w:ilvl w:val="0"/>
                <w:numId w:val="5"/>
              </w:numPr>
              <w:spacing w:before="0" w:after="0"/>
              <w:jc w:val="start"/>
              <w:rPr>
                <w:kern w:val="0"/>
                <w:lang w:val="de-DE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  <w:t xml:space="preserve">Mathematik </w:t>
            </w:r>
          </w:p>
          <w:p>
            <w:pPr>
              <w:pStyle w:val="p1"/>
              <w:widowControl/>
              <w:numPr>
                <w:ilvl w:val="0"/>
                <w:numId w:val="5"/>
              </w:numPr>
              <w:spacing w:before="0" w:after="0"/>
              <w:jc w:val="start"/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  <w:t>Kommunikation/ Interaktion</w:t>
            </w:r>
          </w:p>
          <w:p>
            <w:pPr>
              <w:pStyle w:val="p1"/>
              <w:widowControl/>
              <w:numPr>
                <w:ilvl w:val="0"/>
                <w:numId w:val="5"/>
              </w:numPr>
              <w:spacing w:before="0" w:after="0"/>
              <w:jc w:val="start"/>
              <w:rPr>
                <w:rFonts w:ascii="Arial" w:hAnsi="Arial"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0"/>
                <w:szCs w:val="20"/>
                <w:lang w:val="de-DE" w:eastAsia="en-US" w:bidi="ar-SA"/>
              </w:rPr>
              <w:t>Mobilität</w:t>
            </w:r>
          </w:p>
          <w:p>
            <w:pPr>
              <w:pStyle w:val="p1"/>
              <w:widowControl/>
              <w:numPr>
                <w:ilvl w:val="0"/>
                <w:numId w:val="5"/>
              </w:numPr>
              <w:spacing w:before="0" w:after="0"/>
              <w:jc w:val="start"/>
              <w:rPr>
                <w:rFonts w:ascii="Arial" w:hAnsi="Arial"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0"/>
                <w:szCs w:val="20"/>
                <w:lang w:val="de-DE" w:eastAsia="en-US" w:bidi="ar-SA"/>
              </w:rPr>
              <w:t>Selbstversorgung/ Selbstorganisation</w:t>
            </w:r>
          </w:p>
          <w:p>
            <w:pPr>
              <w:pStyle w:val="p1"/>
              <w:widowControl/>
              <w:numPr>
                <w:ilvl w:val="0"/>
                <w:numId w:val="5"/>
              </w:numPr>
              <w:spacing w:before="0" w:after="0"/>
              <w:jc w:val="start"/>
              <w:rPr>
                <w:rFonts w:ascii="Arial" w:hAnsi="Arial"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0"/>
                <w:szCs w:val="20"/>
                <w:lang w:val="de-DE" w:eastAsia="en-US" w:bidi="ar-SA"/>
              </w:rPr>
              <w:t>Lernen und Wissensanwendung</w:t>
            </w:r>
          </w:p>
          <w:p>
            <w:pPr>
              <w:pStyle w:val="p1"/>
              <w:widowControl/>
              <w:numPr>
                <w:ilvl w:val="0"/>
                <w:numId w:val="5"/>
              </w:numPr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  <w:t>Umgang mit Aufgaben und Anforderungen</w:t>
            </w:r>
          </w:p>
        </w:tc>
      </w:tr>
      <w:tr>
        <w:trPr/>
        <w:tc>
          <w:tcPr>
            <w:tcW w:w="4532" w:type="dxa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Körperfunktionen und Körperstrukturen</w:t>
            </w:r>
          </w:p>
        </w:tc>
        <w:tc>
          <w:tcPr>
            <w:tcW w:w="4824" w:type="dxa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Diagnosen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 xml:space="preserve">Erhoben durch Akten, Arztbriefe, durch standardisierte oder informelle diagnostische Verfahren. </w:t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>Gegebenenfalls als Hypothesen gekennzeichnet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" w:cs="Arial" w:eastAsiaTheme="minorEastAsia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 xml:space="preserve">Neuromuskuloskeletale und bewegungsbezogene Strukturen und Funktionen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" w:cs="Arial" w:eastAsiaTheme="minorEastAsia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Stimm- und Sprechfunktionen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" w:cs="Arial" w:eastAsiaTheme="minorEastAsia"/>
                <w:kern w:val="0"/>
                <w:sz w:val="20"/>
                <w:szCs w:val="20"/>
                <w:lang w:val="de-DE" w:eastAsia="de-DE" w:bidi="ar-SA"/>
              </w:rPr>
              <w:t xml:space="preserve">Mentale Funktionen </w:t>
            </w: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  <w:t>(</w:t>
            </w:r>
            <w:r>
              <w:rPr>
                <w:rFonts w:eastAsia="" w:cs="Arial" w:eastAsiaTheme="minorEastAsia"/>
                <w:kern w:val="0"/>
                <w:sz w:val="20"/>
                <w:szCs w:val="20"/>
                <w:lang w:val="de-DE" w:eastAsia="de-DE" w:bidi="ar-SA"/>
              </w:rPr>
              <w:t>Aufmerksamkeit und Konzentration</w:t>
            </w: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  <w:t xml:space="preserve">, </w:t>
            </w:r>
            <w:r>
              <w:rPr>
                <w:rFonts w:eastAsia="" w:cs="Arial" w:eastAsiaTheme="minorEastAsia"/>
                <w:kern w:val="0"/>
                <w:sz w:val="20"/>
                <w:szCs w:val="20"/>
                <w:lang w:val="de-DE" w:eastAsia="de-DE" w:bidi="ar-SA"/>
              </w:rPr>
              <w:t>Gedächtnis (LZG &amp; KZG, Speichern &amp; Abruf)</w:t>
            </w: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  <w:t xml:space="preserve">, </w:t>
            </w:r>
            <w:r>
              <w:rPr>
                <w:rFonts w:eastAsia="" w:cs="Arial" w:eastAsiaTheme="minorEastAsia"/>
                <w:kern w:val="0"/>
                <w:sz w:val="20"/>
                <w:szCs w:val="20"/>
                <w:lang w:val="de-DE" w:eastAsia="de-DE" w:bidi="ar-SA"/>
              </w:rPr>
              <w:t>kristalline Fähigkeiten, fluides Denken und Problemlösen, Wahrnehmung, exekutive Funktionen)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" w:cs="Arial" w:eastAsiaTheme="minorEastAsia"/>
                <w:kern w:val="0"/>
                <w:sz w:val="20"/>
                <w:szCs w:val="20"/>
                <w:lang w:val="de-DE" w:eastAsia="de-DE" w:bidi="ar-SA"/>
              </w:rPr>
              <w:t>Sinnesfunktionen und dazugehörige Strukturen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Calibri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eastAsia="en-US" w:bidi="ar-SA"/>
              </w:rPr>
              <w:t>Schmerz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Funktionen des Verdauungs-, des Stoffwechsel- und des endokrinen Systems</w:t>
            </w:r>
          </w:p>
        </w:tc>
        <w:tc>
          <w:tcPr>
            <w:tcW w:w="4824" w:type="dxa"/>
            <w:tcBorders/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>Erhoben durch Akten und Arztbriefe</w:t>
            </w:r>
          </w:p>
          <w:p>
            <w:pPr>
              <w:pStyle w:val="p1"/>
              <w:widowControl/>
              <w:numPr>
                <w:ilvl w:val="0"/>
                <w:numId w:val="7"/>
              </w:numPr>
              <w:spacing w:before="0" w:after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>Medizinische Diagnosen nach ICD-11 / DSM-5</w:t>
            </w: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 xml:space="preserve"> </w:t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9356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p1"/>
              <w:widowControl/>
              <w:spacing w:before="120" w:after="12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Umweltfaktoren</w:t>
            </w:r>
          </w:p>
        </w:tc>
      </w:tr>
      <w:tr>
        <w:trPr/>
        <w:tc>
          <w:tcPr>
            <w:tcW w:w="4532" w:type="dxa"/>
            <w:tcBorders>
              <w:end w:val="dotted" w:sz="4" w:space="0" w:color="000000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  <w:t>Erhoben durch Beobachtungen</w:t>
            </w: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 xml:space="preserve"> durch Befragung von Schüler:innen und Bezugspersonen, individuelle Bildungspläne, Berichte.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Personelle Aspekte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Räumliche Aspekte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Zeitliche Aspekte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start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Assistive Technologien</w:t>
            </w:r>
          </w:p>
        </w:tc>
        <w:tc>
          <w:tcPr>
            <w:tcW w:w="4824" w:type="dxa"/>
            <w:tcBorders>
              <w:start w:val="dotted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Medien und Material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aktuelle Lebenssituation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Arial"/>
                <w:kern w:val="0"/>
                <w:sz w:val="24"/>
                <w:szCs w:val="22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Einstellungen des schulischen und häuslichen Umfelds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start"/>
              <w:rPr>
                <w:rFonts w:ascii="Arial" w:hAnsi="Arial"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de-DE" w:eastAsia="en-US" w:bidi="ar-SA"/>
              </w:rPr>
              <w:t>Unterstützung und Beziehung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start"/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de-DE" w:bidi="ar-SA"/>
              </w:rPr>
              <w:t>Medikation</w:t>
            </w:r>
          </w:p>
        </w:tc>
      </w:tr>
    </w:tbl>
    <w:p>
      <w:pPr>
        <w:pStyle w:val="Normal"/>
        <w:widowControl w:val="false"/>
        <w:suppressAutoHyphens w:val="true"/>
        <w:rPr>
          <w:rFonts w:eastAsia="Calibri" w:cs="Calibri"/>
          <w:color w:val="000000"/>
          <w:sz w:val="22"/>
        </w:rPr>
      </w:pPr>
      <w:r>
        <w:rPr>
          <w:rFonts w:eastAsia="Calibri" w:cs="Calibri"/>
          <w:color w:val="000000"/>
          <w:sz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98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Helvetica">
    <w:altName w:val="Arial"/>
    <w:charset w:val="01" w:characterSet="utf-8"/>
    <w:family w:val="swiss"/>
    <w:pitch w:val="variable"/>
  </w:font>
  <w:font w:name="BaWue Sans"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960" w:start="4536"/>
      <w:rPr/>
    </w:pPr>
    <w:r>
      <w:rPr/>
    </w:r>
  </w:p>
  <w:p>
    <w:pPr>
      <w:pStyle w:val="Footer"/>
      <w:rPr>
        <w:color w:themeColor="text1" w:val="000000"/>
      </w:rPr>
    </w:pPr>
    <w:r>
      <w:rPr>
        <w:szCs w:val="16"/>
      </w:rPr>
      <w:t>Abteilung Sonderpädagogik</w:t>
    </w:r>
    <w:r>
      <w:rPr>
        <w:color w:themeColor="text1" w:val="000000"/>
        <w:szCs w:val="16"/>
      </w:rPr>
      <w:t xml:space="preserve"> I </w:t>
    </w:r>
    <w:r>
      <w:rPr>
        <w:szCs w:val="16"/>
      </w:rPr>
      <w:t xml:space="preserve">Fachrichtung Geistige Entwicklung I </w:t>
    </w:r>
    <w:r>
      <w:rPr>
        <w:szCs w:val="16"/>
      </w:rPr>
      <w:fldChar w:fldCharType="begin"/>
    </w:r>
    <w:r>
      <w:rPr>
        <w:szCs w:val="16"/>
      </w:rPr>
      <w:instrText xml:space="preserve"> TIME \@"dd.MM.yyyy" </w:instrText>
    </w:r>
    <w:r>
      <w:rPr>
        <w:szCs w:val="16"/>
      </w:rPr>
      <w:fldChar w:fldCharType="separate"/>
    </w:r>
    <w:r>
      <w:rPr>
        <w:szCs w:val="16"/>
      </w:rPr>
      <w:t>28.04.2026</w:t>
    </w:r>
    <w:r>
      <w:rPr>
        <w:szCs w:val="16"/>
      </w:rPr>
      <w:fldChar w:fldCharType="end"/>
    </w:r>
    <w:r>
      <w:rPr>
        <w:rFonts w:ascii="BaWue Sans" w:hAnsi="BaWue Sans"/>
        <w:szCs w:val="16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960" w:start="4536"/>
      <w:rPr/>
    </w:pPr>
    <w:r>
      <w:rPr/>
    </w:r>
  </w:p>
  <w:p>
    <w:pPr>
      <w:pStyle w:val="Footer"/>
      <w:rPr>
        <w:color w:themeColor="text1" w:val="000000"/>
      </w:rPr>
    </w:pPr>
    <w:r>
      <w:rPr>
        <w:szCs w:val="16"/>
      </w:rPr>
      <w:t>Abteilung Sonderpädagogik</w:t>
    </w:r>
    <w:r>
      <w:rPr>
        <w:color w:themeColor="text1" w:val="000000"/>
        <w:szCs w:val="16"/>
      </w:rPr>
      <w:t xml:space="preserve"> I </w:t>
    </w:r>
    <w:r>
      <w:rPr>
        <w:szCs w:val="16"/>
      </w:rPr>
      <w:t xml:space="preserve">Fachrichtung Geistige Entwicklung I </w:t>
    </w:r>
    <w:r>
      <w:rPr>
        <w:szCs w:val="16"/>
      </w:rPr>
      <w:fldChar w:fldCharType="begin"/>
    </w:r>
    <w:r>
      <w:rPr>
        <w:szCs w:val="16"/>
      </w:rPr>
      <w:instrText xml:space="preserve"> TIME \@"dd.MM.yyyy" </w:instrText>
    </w:r>
    <w:r>
      <w:rPr>
        <w:szCs w:val="16"/>
      </w:rPr>
      <w:fldChar w:fldCharType="separate"/>
    </w:r>
    <w:r>
      <w:rPr>
        <w:szCs w:val="16"/>
      </w:rPr>
      <w:t>28.04.2026</w:t>
    </w:r>
    <w:r>
      <w:rPr>
        <w:szCs w:val="16"/>
      </w:rPr>
      <w:fldChar w:fldCharType="end"/>
    </w:r>
    <w:r>
      <w:rPr>
        <w:rFonts w:ascii="BaWue Sans" w:hAnsi="BaWue Sans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4675505" cy="485775"/>
          <wp:effectExtent l="0" t="0" r="0" b="0"/>
          <wp:docPr id="1" name="Grafik 619987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6199876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4675505" cy="485775"/>
          <wp:effectExtent l="0" t="0" r="0" b="0"/>
          <wp:docPr id="2" name="Grafik 619987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6199876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6"/>
        </w:tabs>
        <w:ind w:start="7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6"/>
        </w:tabs>
        <w:ind w:start="10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6"/>
        </w:tabs>
        <w:ind w:start="14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6"/>
        </w:tabs>
        <w:ind w:start="18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6"/>
        </w:tabs>
        <w:ind w:start="21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6"/>
        </w:tabs>
        <w:ind w:start="25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6"/>
        </w:tabs>
        <w:ind w:start="28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6"/>
        </w:tabs>
        <w:ind w:start="32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6"/>
        </w:tabs>
        <w:ind w:start="3606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129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Arial" w:hAnsi="Arial" w:eastAsia="Calibri" w:cs="Arial" w:eastAsiaTheme="minorHAnsi"/>
      <w:color w:val="auto"/>
      <w:kern w:val="0"/>
      <w:sz w:val="24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b0fb5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b0fb5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fb0fb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b0fb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b0fb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b0fb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b0fb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b0fb5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b0fb5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MTimesNewRoman8Zchn" w:customStyle="1">
    <w:name w:val="KM_TimesNewRoman_8 Zchn"/>
    <w:basedOn w:val="DefaultParagraphFont"/>
    <w:link w:val="KMTimesNewRoman8"/>
    <w:qFormat/>
    <w:rsid w:val="00296589"/>
    <w:rPr>
      <w:rFonts w:ascii="Times New Roman" w:hAnsi="Times New Roman" w:cs="Times New Roman"/>
      <w:sz w:val="16"/>
    </w:rPr>
  </w:style>
  <w:style w:type="character" w:styleId="FuzeileZchn" w:customStyle="1">
    <w:name w:val="Fußzeile Zchn"/>
    <w:basedOn w:val="DefaultParagraphFont"/>
    <w:uiPriority w:val="99"/>
    <w:qFormat/>
    <w:rsid w:val="00f44a67"/>
    <w:rPr>
      <w:rFonts w:eastAsia="Times New Roman" w:cs="Times New Roman"/>
      <w:sz w:val="16"/>
      <w:szCs w:val="20"/>
      <w:lang w:eastAsia="de-DE"/>
    </w:rPr>
  </w:style>
  <w:style w:type="character" w:styleId="KopfzeileZchn" w:customStyle="1">
    <w:name w:val="Kopfzeile Zchn"/>
    <w:basedOn w:val="DefaultParagraphFont"/>
    <w:qFormat/>
    <w:rsid w:val="00f44a67"/>
    <w:rPr>
      <w:rFonts w:eastAsia="Times New Roman" w:cs="Times New Roman"/>
      <w:szCs w:val="20"/>
      <w:lang w:eastAsia="de-DE"/>
    </w:rPr>
  </w:style>
  <w:style w:type="character" w:styleId="PageNumber">
    <w:name w:val="page number"/>
    <w:basedOn w:val="DefaultParagraphFont"/>
    <w:rsid w:val="00f44a67"/>
    <w:rPr/>
  </w:style>
  <w:style w:type="character" w:styleId="berschrift1Zchn" w:customStyle="1">
    <w:name w:val="Überschrift 1 Zchn"/>
    <w:basedOn w:val="DefaultParagraphFont"/>
    <w:uiPriority w:val="9"/>
    <w:qFormat/>
    <w:rsid w:val="00fb0fb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fb0fb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qFormat/>
    <w:rsid w:val="00fb0fb5"/>
    <w:rPr>
      <w:rFonts w:ascii="Calibri" w:hAnsi="Calibri" w:eastAsia="" w:cs="" w:asciiTheme="minorHAnsi" w:cstheme="majorBidi" w:eastAsiaTheme="majorEastAsia" w:hAnsiTheme="minorHAnsi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accent1" w:themeShade="bf" w:val="365F9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fb0fb5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fb0fb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b0fb5"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fb0fb5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fb0fb5"/>
    <w:rPr>
      <w:b/>
      <w:bCs/>
      <w:smallCaps/>
      <w:color w:themeColor="accent1" w:themeShade="bf" w:val="365F91"/>
      <w:spacing w:val="5"/>
    </w:rPr>
  </w:style>
  <w:style w:type="character" w:styleId="Aufzhlungszeichen" w:customStyle="1">
    <w:name w:val="Aufzählungszeichen"/>
    <w:qFormat/>
    <w:rPr>
      <w:rFonts w:ascii="OpenSymbol" w:hAnsi="OpenSymbol" w:eastAsia="OpenSymbol" w:cs="OpenSymbol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Lucida Sans"/>
    </w:rPr>
  </w:style>
  <w:style w:type="paragraph" w:styleId="KMTimesNewRoman8" w:customStyle="1">
    <w:name w:val="KM_TimesNewRoman_8"/>
    <w:basedOn w:val="Normal"/>
    <w:link w:val="KMTimesNewRoman8Zchn"/>
    <w:qFormat/>
    <w:rsid w:val="00296589"/>
    <w:pPr>
      <w:tabs>
        <w:tab w:val="clear" w:pos="708"/>
        <w:tab w:val="center" w:pos="1985" w:leader="none"/>
      </w:tabs>
      <w:jc w:val="center"/>
    </w:pPr>
    <w:rPr>
      <w:rFonts w:ascii="Times New Roman" w:hAnsi="Times New Roman" w:cs="Times New Roman"/>
      <w:sz w:val="16"/>
    </w:rPr>
  </w:style>
  <w:style w:type="paragraph" w:styleId="Einrckung0" w:customStyle="1">
    <w:name w:val="Einrückung0"/>
    <w:basedOn w:val="Normal"/>
    <w:qFormat/>
    <w:rsid w:val="00f44a67"/>
    <w:pPr>
      <w:overflowPunct w:val="true"/>
      <w:spacing w:lineRule="atLeast" w:line="360"/>
      <w:textAlignment w:val="baseline"/>
    </w:pPr>
    <w:rPr>
      <w:rFonts w:eastAsia="Times New Roman" w:cs="Times New Roman"/>
      <w:szCs w:val="20"/>
      <w:lang w:eastAsia="de-DE"/>
    </w:rPr>
  </w:style>
  <w:style w:type="paragraph" w:styleId="Einrckung1" w:customStyle="1">
    <w:name w:val="Einrückung1"/>
    <w:basedOn w:val="Normal"/>
    <w:qFormat/>
    <w:rsid w:val="00f44a67"/>
    <w:pPr>
      <w:overflowPunct w:val="true"/>
      <w:spacing w:lineRule="atLeast" w:line="360"/>
      <w:ind w:hanging="425" w:start="425"/>
      <w:textAlignment w:val="baseline"/>
    </w:pPr>
    <w:rPr>
      <w:rFonts w:eastAsia="Times New Roman" w:cs="Times New Roman"/>
      <w:szCs w:val="20"/>
      <w:lang w:eastAsia="de-DE"/>
    </w:rPr>
  </w:style>
  <w:style w:type="paragraph" w:styleId="Einrckung2" w:customStyle="1">
    <w:name w:val="Einrückung2"/>
    <w:basedOn w:val="Normal"/>
    <w:qFormat/>
    <w:rsid w:val="00f44a67"/>
    <w:pPr>
      <w:overflowPunct w:val="true"/>
      <w:spacing w:lineRule="atLeast" w:line="360"/>
      <w:ind w:hanging="425" w:start="850"/>
      <w:textAlignment w:val="baseline"/>
    </w:pPr>
    <w:rPr>
      <w:rFonts w:eastAsia="Times New Roman" w:cs="Times New Roman"/>
      <w:szCs w:val="20"/>
      <w:lang w:eastAsia="de-DE"/>
    </w:rPr>
  </w:style>
  <w:style w:type="paragraph" w:styleId="Einrckung3" w:customStyle="1">
    <w:name w:val="Einrückung3"/>
    <w:basedOn w:val="Normal"/>
    <w:qFormat/>
    <w:rsid w:val="00f44a67"/>
    <w:pPr>
      <w:overflowPunct w:val="true"/>
      <w:spacing w:lineRule="atLeast" w:line="360"/>
      <w:ind w:hanging="425" w:start="1276"/>
      <w:textAlignment w:val="baseline"/>
    </w:pPr>
    <w:rPr>
      <w:rFonts w:eastAsia="Times New Roman" w:cs="Times New Roman"/>
      <w:szCs w:val="20"/>
      <w:lang w:eastAsia="de-DE"/>
    </w:rPr>
  </w:style>
  <w:style w:type="paragraph" w:styleId="Einrckung4" w:customStyle="1">
    <w:name w:val="Einrückung4"/>
    <w:basedOn w:val="Normal"/>
    <w:qFormat/>
    <w:rsid w:val="00f44a67"/>
    <w:pPr>
      <w:overflowPunct w:val="true"/>
      <w:spacing w:lineRule="atLeast" w:line="360"/>
      <w:ind w:hanging="425" w:start="1701"/>
      <w:textAlignment w:val="baseline"/>
    </w:pPr>
    <w:rPr>
      <w:rFonts w:eastAsia="Times New Roman" w:cs="Times New Roman"/>
      <w:szCs w:val="20"/>
      <w:lang w:eastAsia="de-DE"/>
    </w:rPr>
  </w:style>
  <w:style w:type="paragraph" w:styleId="Kopf-Fuzeile" w:customStyle="1">
    <w:name w:val="Kopf-/Fußzeile"/>
    <w:basedOn w:val="Normal"/>
    <w:qFormat/>
    <w:pPr/>
    <w:rPr/>
  </w:style>
  <w:style w:type="paragraph" w:styleId="Kopf-Fuzeileuser" w:customStyle="1">
    <w:name w:val="Kopf-/Fußzeile (user)"/>
    <w:basedOn w:val="Normal"/>
    <w:qFormat/>
    <w:pPr/>
    <w:rPr/>
  </w:style>
  <w:style w:type="paragraph" w:styleId="Footer">
    <w:name w:val="footer"/>
    <w:basedOn w:val="Normal"/>
    <w:link w:val="FuzeileZchn"/>
    <w:uiPriority w:val="99"/>
    <w:rsid w:val="00f44a67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eastAsia="Times New Roman" w:cs="Times New Roman"/>
      <w:sz w:val="16"/>
      <w:szCs w:val="20"/>
      <w:lang w:eastAsia="de-DE"/>
    </w:rPr>
  </w:style>
  <w:style w:type="paragraph" w:styleId="Header">
    <w:name w:val="header"/>
    <w:basedOn w:val="Normal"/>
    <w:link w:val="KopfzeileZchn"/>
    <w:rsid w:val="00f44a67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eastAsia="Times New Roman" w:cs="Times New Roman"/>
      <w:szCs w:val="20"/>
      <w:lang w:eastAsia="de-DE"/>
    </w:rPr>
  </w:style>
  <w:style w:type="paragraph" w:styleId="Title">
    <w:name w:val="Title"/>
    <w:basedOn w:val="Normal"/>
    <w:next w:val="Normal"/>
    <w:link w:val="TitelZchn"/>
    <w:uiPriority w:val="10"/>
    <w:qFormat/>
    <w:rsid w:val="00fb0fb5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b0fb5"/>
    <w:pPr>
      <w:spacing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b0fb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fb0fb5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p1" w:customStyle="1">
    <w:name w:val="p1"/>
    <w:basedOn w:val="Normal"/>
    <w:qFormat/>
    <w:rsid w:val="0001469b"/>
    <w:pPr/>
    <w:rPr>
      <w:rFonts w:ascii="Helvetica" w:hAnsi="Helvetica" w:eastAsia="Times New Roman" w:cs="Times New Roman"/>
      <w:color w:val="000000"/>
      <w:sz w:val="17"/>
      <w:szCs w:val="17"/>
      <w:lang w:eastAsia="de-DE"/>
    </w:rPr>
  </w:style>
  <w:style w:type="numbering" w:styleId="KeineListe" w:customStyle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146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286F-B8BE-444A-9B0E-C68A9A57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LibreOffice/25.8.1.1$MacOSX_AARCH64 LibreOffice_project/54047653041915e595ad4e45cccea684809c77b5</Application>
  <AppVersion>15.0000</AppVersion>
  <Pages>2</Pages>
  <Words>358</Words>
  <Characters>2642</Characters>
  <CharactersWithSpaces>2900</CharactersWithSpaces>
  <Paragraphs>78</Paragraphs>
  <Company>BITBW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2026-04-23T15:09:00Z</dcterms:created>
  <dc:creator>Gromer, Benjamin (Seminar GYMSOP Freiburg)</dc:creator>
  <dc:description/>
  <dc:language>de-DE</dc:language>
  <cp:lastModifiedBy/>
  <dcterms:modified xsi:type="dcterms:W3CDTF">2026-04-28T17:33:55Z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