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2C8" w:rsidRDefault="00674937" w:rsidP="003022C8">
      <w:pPr>
        <w:jc w:val="center"/>
        <w:rPr>
          <w:b/>
          <w:sz w:val="28"/>
          <w:szCs w:val="28"/>
        </w:rPr>
      </w:pPr>
      <w:r>
        <w:rPr>
          <w:b/>
          <w:sz w:val="28"/>
          <w:szCs w:val="28"/>
        </w:rPr>
        <w:t>Beruf und Rolle</w:t>
      </w:r>
    </w:p>
    <w:p w:rsidR="00E051A8" w:rsidRPr="003022C8" w:rsidRDefault="00E051A8" w:rsidP="003022C8">
      <w:pPr>
        <w:jc w:val="center"/>
        <w:rPr>
          <w:b/>
          <w:sz w:val="28"/>
          <w:szCs w:val="28"/>
        </w:rPr>
      </w:pPr>
      <w:r>
        <w:rPr>
          <w:b/>
          <w:sz w:val="28"/>
          <w:szCs w:val="28"/>
        </w:rPr>
        <w:t>2014_02_24</w:t>
      </w:r>
      <w:bookmarkStart w:id="0" w:name="_GoBack"/>
      <w:bookmarkEnd w:id="0"/>
    </w:p>
    <w:tbl>
      <w:tblPr>
        <w:tblStyle w:val="Tabellenraster"/>
        <w:tblW w:w="0" w:type="auto"/>
        <w:tblLook w:val="04A0" w:firstRow="1" w:lastRow="0" w:firstColumn="1" w:lastColumn="0" w:noHBand="0" w:noVBand="1"/>
      </w:tblPr>
      <w:tblGrid>
        <w:gridCol w:w="4606"/>
        <w:gridCol w:w="4606"/>
      </w:tblGrid>
      <w:tr w:rsidR="003022C8" w:rsidTr="00F431D9">
        <w:tc>
          <w:tcPr>
            <w:tcW w:w="9212" w:type="dxa"/>
            <w:gridSpan w:val="2"/>
          </w:tcPr>
          <w:p w:rsidR="003022C8" w:rsidRDefault="00F431D9" w:rsidP="003022C8">
            <w:pPr>
              <w:ind w:left="360"/>
              <w:rPr>
                <w:bCs/>
              </w:rPr>
            </w:pPr>
            <w:r w:rsidRPr="003A77E2">
              <w:rPr>
                <w:bCs/>
              </w:rPr>
              <w:t xml:space="preserve">Das Berufs- und Rollenverständnis von Sonderpädagogen </w:t>
            </w:r>
            <w:r>
              <w:rPr>
                <w:bCs/>
              </w:rPr>
              <w:t>ist. u.a. durch die zunehmenden Inklusionsbemühungen in einem akuten Wandel begriffen. Es bleiben mehr Zuständigkeiten für das Kind beim Allgemeinpädagogen. Dies macht eine „</w:t>
            </w:r>
            <w:proofErr w:type="spellStart"/>
            <w:r>
              <w:rPr>
                <w:bCs/>
              </w:rPr>
              <w:t>Umprofessionalisierung</w:t>
            </w:r>
            <w:proofErr w:type="spellEnd"/>
            <w:r>
              <w:rPr>
                <w:bCs/>
              </w:rPr>
              <w:t>“ (Bernhard Rau 2013) erforderlich, für die noch akzentuierter als bisher, neben den fachspezifischen Kompetenzen, eine gefestigte Lehrerpersönlichkeit mit einer rollengerechten Identität gefragt ist. Um die Anwärter bestmöglich gerade auch auf ein solches, von vielfältigen Ambiguitäten geprägtes Rollenverständnis vorzubereiten, soll in einem ersten Schritt erhoben werden, welche Themen und Inhalte zum Kompetenzbereich Beruf</w:t>
            </w:r>
            <w:r w:rsidR="001C635F">
              <w:rPr>
                <w:bCs/>
              </w:rPr>
              <w:t>s- und Rollenverständnis entwickeln und gestalten</w:t>
            </w:r>
            <w:r>
              <w:rPr>
                <w:bCs/>
              </w:rPr>
              <w:t xml:space="preserve"> in den verschiedenen Ausbildungsformaten am Seminar angeboten werden, um dann in einem zweiten Schritt ggf. Lücken im Angebot der für die Kompetenzentwicklung notwendigen Angebote aufzuspüren.</w:t>
            </w:r>
          </w:p>
          <w:p w:rsidR="00F431D9" w:rsidRDefault="00F431D9" w:rsidP="003022C8">
            <w:pPr>
              <w:ind w:left="360"/>
            </w:pPr>
          </w:p>
        </w:tc>
      </w:tr>
      <w:tr w:rsidR="00C9294C" w:rsidTr="00F431D9">
        <w:tc>
          <w:tcPr>
            <w:tcW w:w="4606" w:type="dxa"/>
          </w:tcPr>
          <w:p w:rsidR="00C9294C" w:rsidRPr="00674937" w:rsidRDefault="00C9294C" w:rsidP="00F431D9">
            <w:pPr>
              <w:pStyle w:val="Listenabsatz"/>
              <w:numPr>
                <w:ilvl w:val="0"/>
                <w:numId w:val="1"/>
              </w:numPr>
              <w:rPr>
                <w:b/>
                <w:sz w:val="20"/>
                <w:szCs w:val="20"/>
              </w:rPr>
            </w:pPr>
            <w:r w:rsidRPr="00674937">
              <w:rPr>
                <w:b/>
                <w:sz w:val="20"/>
                <w:szCs w:val="20"/>
              </w:rPr>
              <w:t>Leitgedanken</w:t>
            </w:r>
          </w:p>
          <w:p w:rsidR="00C9294C" w:rsidRPr="00674937" w:rsidRDefault="00F431D9" w:rsidP="00F431D9">
            <w:pPr>
              <w:pStyle w:val="Listenabsatz"/>
              <w:ind w:left="360"/>
              <w:rPr>
                <w:sz w:val="20"/>
                <w:szCs w:val="20"/>
              </w:rPr>
            </w:pPr>
            <w:r w:rsidRPr="00674937">
              <w:rPr>
                <w:bCs/>
                <w:sz w:val="20"/>
                <w:szCs w:val="20"/>
              </w:rPr>
              <w:t>Der Vorbereitungsdienst stellt eine Praxisbegleitung sicher, die darauf ausgerichtet ist, dass Selbstverantwortung, Rollenklarheit, Systemkenntnisse, Kooperationsbereitschaft und dialogisches Kommunikationsverhalten erworben und gestärkt werden können</w:t>
            </w:r>
            <w:proofErr w:type="gramStart"/>
            <w:r w:rsidRPr="00674937">
              <w:rPr>
                <w:bCs/>
                <w:sz w:val="20"/>
                <w:szCs w:val="20"/>
              </w:rPr>
              <w:t>..</w:t>
            </w:r>
            <w:proofErr w:type="gramEnd"/>
          </w:p>
        </w:tc>
        <w:tc>
          <w:tcPr>
            <w:tcW w:w="4606" w:type="dxa"/>
          </w:tcPr>
          <w:p w:rsidR="00C9294C" w:rsidRPr="00674937" w:rsidRDefault="00C9294C" w:rsidP="00F431D9">
            <w:pPr>
              <w:pStyle w:val="Listenabsatz"/>
              <w:ind w:left="0"/>
              <w:rPr>
                <w:sz w:val="20"/>
                <w:szCs w:val="20"/>
              </w:rPr>
            </w:pPr>
            <w:r w:rsidRPr="00674937">
              <w:rPr>
                <w:b/>
                <w:sz w:val="20"/>
                <w:szCs w:val="20"/>
              </w:rPr>
              <w:t>Leitziele</w:t>
            </w:r>
          </w:p>
          <w:p w:rsidR="00F431D9" w:rsidRPr="00674937" w:rsidRDefault="00F431D9" w:rsidP="00F431D9">
            <w:pPr>
              <w:numPr>
                <w:ilvl w:val="0"/>
                <w:numId w:val="19"/>
              </w:numPr>
              <w:contextualSpacing/>
              <w:rPr>
                <w:bCs/>
                <w:sz w:val="20"/>
                <w:szCs w:val="20"/>
              </w:rPr>
            </w:pPr>
            <w:r w:rsidRPr="00674937">
              <w:rPr>
                <w:bCs/>
                <w:sz w:val="20"/>
                <w:szCs w:val="20"/>
              </w:rPr>
              <w:t>eigene berufsbezogene Erlebens- und Bewältigungsmuster erkennen</w:t>
            </w:r>
          </w:p>
          <w:p w:rsidR="00F431D9" w:rsidRPr="00674937" w:rsidRDefault="00F431D9" w:rsidP="00F431D9">
            <w:pPr>
              <w:numPr>
                <w:ilvl w:val="0"/>
                <w:numId w:val="19"/>
              </w:numPr>
              <w:contextualSpacing/>
              <w:rPr>
                <w:bCs/>
                <w:sz w:val="20"/>
                <w:szCs w:val="20"/>
              </w:rPr>
            </w:pPr>
            <w:r w:rsidRPr="00674937">
              <w:rPr>
                <w:bCs/>
                <w:sz w:val="20"/>
                <w:szCs w:val="20"/>
              </w:rPr>
              <w:t xml:space="preserve">verschiedene Systeme erkunden. </w:t>
            </w:r>
          </w:p>
          <w:p w:rsidR="00F431D9" w:rsidRPr="00674937" w:rsidRDefault="00F431D9" w:rsidP="00F431D9">
            <w:pPr>
              <w:numPr>
                <w:ilvl w:val="0"/>
                <w:numId w:val="19"/>
              </w:numPr>
              <w:contextualSpacing/>
              <w:rPr>
                <w:bCs/>
                <w:sz w:val="20"/>
                <w:szCs w:val="20"/>
              </w:rPr>
            </w:pPr>
            <w:r w:rsidRPr="00674937">
              <w:rPr>
                <w:bCs/>
                <w:sz w:val="20"/>
                <w:szCs w:val="20"/>
              </w:rPr>
              <w:t xml:space="preserve"> in Kooperationen Erfahrungen sammeln</w:t>
            </w:r>
          </w:p>
          <w:p w:rsidR="00F431D9" w:rsidRPr="00674937" w:rsidRDefault="00F431D9" w:rsidP="00F431D9">
            <w:pPr>
              <w:numPr>
                <w:ilvl w:val="0"/>
                <w:numId w:val="19"/>
              </w:numPr>
              <w:contextualSpacing/>
              <w:rPr>
                <w:bCs/>
                <w:sz w:val="20"/>
                <w:szCs w:val="20"/>
              </w:rPr>
            </w:pPr>
            <w:r w:rsidRPr="00674937">
              <w:rPr>
                <w:bCs/>
                <w:sz w:val="20"/>
                <w:szCs w:val="20"/>
              </w:rPr>
              <w:t>Gesprächs- und Beratungsformen erproben und reflektieren</w:t>
            </w:r>
          </w:p>
          <w:p w:rsidR="00C9294C" w:rsidRPr="00674937" w:rsidRDefault="00C9294C" w:rsidP="00FA5106">
            <w:pPr>
              <w:pStyle w:val="Listenabsatz"/>
              <w:rPr>
                <w:sz w:val="20"/>
                <w:szCs w:val="20"/>
              </w:rPr>
            </w:pPr>
          </w:p>
        </w:tc>
      </w:tr>
      <w:tr w:rsidR="00F431D9" w:rsidRPr="00BB6977" w:rsidTr="00F431D9">
        <w:tc>
          <w:tcPr>
            <w:tcW w:w="4606" w:type="dxa"/>
            <w:hideMark/>
          </w:tcPr>
          <w:p w:rsidR="00F431D9" w:rsidRPr="00674937" w:rsidRDefault="00F431D9" w:rsidP="00F431D9">
            <w:pPr>
              <w:ind w:left="426"/>
              <w:rPr>
                <w:rFonts w:eastAsia="Times New Roman"/>
                <w:sz w:val="20"/>
                <w:szCs w:val="20"/>
                <w:lang w:eastAsia="ja-JP"/>
              </w:rPr>
            </w:pPr>
            <w:r w:rsidRPr="00674937">
              <w:rPr>
                <w:rFonts w:eastAsia="Times New Roman"/>
                <w:sz w:val="20"/>
                <w:szCs w:val="20"/>
                <w:lang w:eastAsia="ja-JP"/>
              </w:rPr>
              <w:t xml:space="preserve">Die Ausbildung im Vorbereitungsdienst ermöglicht in den rollenspezifischen sonderpädagogischen Handlungsfeldern einen Kompetenzerwerb auf der Kenntnisebene. </w:t>
            </w:r>
          </w:p>
        </w:tc>
        <w:tc>
          <w:tcPr>
            <w:tcW w:w="4606" w:type="dxa"/>
            <w:hideMark/>
          </w:tcPr>
          <w:p w:rsidR="00F431D9" w:rsidRPr="00674937" w:rsidRDefault="00F431D9" w:rsidP="00F431D9">
            <w:pPr>
              <w:numPr>
                <w:ilvl w:val="0"/>
                <w:numId w:val="19"/>
              </w:numPr>
              <w:contextualSpacing/>
              <w:rPr>
                <w:rFonts w:eastAsia="Times New Roman"/>
                <w:sz w:val="20"/>
                <w:szCs w:val="20"/>
                <w:lang w:eastAsia="ja-JP"/>
              </w:rPr>
            </w:pPr>
            <w:r w:rsidRPr="00674937">
              <w:rPr>
                <w:rFonts w:eastAsia="Times New Roman"/>
                <w:sz w:val="20"/>
                <w:szCs w:val="20"/>
                <w:lang w:eastAsia="ja-JP"/>
              </w:rPr>
              <w:t>die normative Grundlagen kennen</w:t>
            </w:r>
          </w:p>
          <w:p w:rsidR="00F431D9" w:rsidRPr="00674937" w:rsidRDefault="00F431D9" w:rsidP="00F431D9">
            <w:pPr>
              <w:numPr>
                <w:ilvl w:val="0"/>
                <w:numId w:val="19"/>
              </w:numPr>
              <w:contextualSpacing/>
              <w:rPr>
                <w:rFonts w:eastAsia="Times New Roman"/>
                <w:sz w:val="20"/>
                <w:szCs w:val="20"/>
                <w:lang w:eastAsia="ja-JP"/>
              </w:rPr>
            </w:pPr>
            <w:r w:rsidRPr="00674937">
              <w:rPr>
                <w:rFonts w:eastAsia="Times New Roman"/>
                <w:sz w:val="20"/>
                <w:szCs w:val="20"/>
                <w:lang w:eastAsia="ja-JP"/>
              </w:rPr>
              <w:t>Kenntnis von Theoriebezügen zu Lehrergesundheit (</w:t>
            </w:r>
            <w:proofErr w:type="spellStart"/>
            <w:r w:rsidRPr="00674937">
              <w:rPr>
                <w:rFonts w:eastAsia="Times New Roman"/>
                <w:sz w:val="20"/>
                <w:szCs w:val="20"/>
                <w:lang w:eastAsia="ja-JP"/>
              </w:rPr>
              <w:t>Salutogenese</w:t>
            </w:r>
            <w:proofErr w:type="spellEnd"/>
            <w:r w:rsidRPr="00674937">
              <w:rPr>
                <w:rFonts w:eastAsia="Times New Roman"/>
                <w:sz w:val="20"/>
                <w:szCs w:val="20"/>
                <w:lang w:eastAsia="ja-JP"/>
              </w:rPr>
              <w:t xml:space="preserve"> etc.)</w:t>
            </w:r>
          </w:p>
          <w:p w:rsidR="00F431D9" w:rsidRPr="00674937" w:rsidRDefault="00F431D9" w:rsidP="00F431D9">
            <w:pPr>
              <w:numPr>
                <w:ilvl w:val="0"/>
                <w:numId w:val="19"/>
              </w:numPr>
              <w:contextualSpacing/>
              <w:rPr>
                <w:rFonts w:eastAsia="Times New Roman"/>
                <w:sz w:val="20"/>
                <w:szCs w:val="20"/>
                <w:lang w:eastAsia="ja-JP"/>
              </w:rPr>
            </w:pPr>
            <w:r w:rsidRPr="00674937">
              <w:rPr>
                <w:rFonts w:eastAsia="Times New Roman"/>
                <w:sz w:val="20"/>
                <w:szCs w:val="20"/>
                <w:lang w:eastAsia="ja-JP"/>
              </w:rPr>
              <w:t>Kenntnis  von Theoriebezügen zu Gesprächsführung und Beratung…</w:t>
            </w:r>
          </w:p>
          <w:p w:rsidR="00F431D9" w:rsidRPr="00674937" w:rsidRDefault="00F431D9" w:rsidP="00F431D9">
            <w:pPr>
              <w:numPr>
                <w:ilvl w:val="0"/>
                <w:numId w:val="19"/>
              </w:numPr>
              <w:contextualSpacing/>
              <w:rPr>
                <w:rFonts w:eastAsia="Times New Roman"/>
                <w:sz w:val="20"/>
                <w:szCs w:val="20"/>
                <w:lang w:eastAsia="ja-JP"/>
              </w:rPr>
            </w:pPr>
          </w:p>
        </w:tc>
      </w:tr>
      <w:tr w:rsidR="00F431D9" w:rsidRPr="00BB6977" w:rsidTr="00F431D9">
        <w:tc>
          <w:tcPr>
            <w:tcW w:w="4606" w:type="dxa"/>
          </w:tcPr>
          <w:p w:rsidR="00F431D9" w:rsidRPr="00674937" w:rsidRDefault="00F431D9" w:rsidP="00F431D9">
            <w:pPr>
              <w:ind w:left="426"/>
              <w:rPr>
                <w:rFonts w:eastAsia="Times New Roman"/>
                <w:sz w:val="20"/>
                <w:szCs w:val="20"/>
                <w:lang w:eastAsia="ja-JP"/>
              </w:rPr>
            </w:pPr>
            <w:r w:rsidRPr="00674937">
              <w:rPr>
                <w:rFonts w:eastAsia="Times New Roman"/>
                <w:sz w:val="20"/>
                <w:szCs w:val="20"/>
                <w:lang w:eastAsia="ja-JP"/>
              </w:rPr>
              <w:t>Die Ausbildung im Vorber</w:t>
            </w:r>
            <w:r w:rsidR="004576F6">
              <w:rPr>
                <w:rFonts w:eastAsia="Times New Roman"/>
                <w:sz w:val="20"/>
                <w:szCs w:val="20"/>
                <w:lang w:eastAsia="ja-JP"/>
              </w:rPr>
              <w:t>eitungsdienst regt in den Berei</w:t>
            </w:r>
            <w:r w:rsidRPr="00674937">
              <w:rPr>
                <w:rFonts w:eastAsia="Times New Roman"/>
                <w:sz w:val="20"/>
                <w:szCs w:val="20"/>
                <w:lang w:eastAsia="ja-JP"/>
              </w:rPr>
              <w:t>chen Personaler Kompetenz</w:t>
            </w:r>
            <w:r w:rsidR="004576F6">
              <w:rPr>
                <w:rFonts w:eastAsia="Times New Roman"/>
                <w:sz w:val="20"/>
                <w:szCs w:val="20"/>
                <w:lang w:eastAsia="ja-JP"/>
              </w:rPr>
              <w:t xml:space="preserve"> zu einer vertiefenden Auseinan</w:t>
            </w:r>
            <w:r w:rsidRPr="00674937">
              <w:rPr>
                <w:rFonts w:eastAsia="Times New Roman"/>
                <w:sz w:val="20"/>
                <w:szCs w:val="20"/>
                <w:lang w:eastAsia="ja-JP"/>
              </w:rPr>
              <w:t>dersetzung mit eigenen Erlebens- und Bewältigungsmustern an</w:t>
            </w:r>
          </w:p>
        </w:tc>
        <w:tc>
          <w:tcPr>
            <w:tcW w:w="4606" w:type="dxa"/>
          </w:tcPr>
          <w:p w:rsidR="00F431D9" w:rsidRPr="00674937" w:rsidRDefault="00F431D9" w:rsidP="00F431D9">
            <w:pPr>
              <w:numPr>
                <w:ilvl w:val="0"/>
                <w:numId w:val="19"/>
              </w:numPr>
              <w:contextualSpacing/>
              <w:rPr>
                <w:rFonts w:eastAsia="Times New Roman"/>
                <w:sz w:val="20"/>
                <w:szCs w:val="20"/>
                <w:lang w:eastAsia="ja-JP"/>
              </w:rPr>
            </w:pPr>
            <w:r w:rsidRPr="00674937">
              <w:rPr>
                <w:rFonts w:eastAsia="Times New Roman"/>
                <w:sz w:val="20"/>
                <w:szCs w:val="20"/>
                <w:lang w:eastAsia="ja-JP"/>
              </w:rPr>
              <w:t xml:space="preserve">Vorerfahrungen und Vorprägungen reflektieren </w:t>
            </w:r>
          </w:p>
          <w:p w:rsidR="00F431D9" w:rsidRPr="00674937" w:rsidRDefault="00F431D9" w:rsidP="00F431D9">
            <w:pPr>
              <w:numPr>
                <w:ilvl w:val="0"/>
                <w:numId w:val="19"/>
              </w:numPr>
              <w:contextualSpacing/>
              <w:rPr>
                <w:rFonts w:eastAsia="Times New Roman"/>
                <w:sz w:val="20"/>
                <w:szCs w:val="20"/>
                <w:lang w:eastAsia="ja-JP"/>
              </w:rPr>
            </w:pPr>
            <w:r w:rsidRPr="00674937">
              <w:rPr>
                <w:rFonts w:eastAsia="Times New Roman"/>
                <w:sz w:val="20"/>
                <w:szCs w:val="20"/>
                <w:lang w:eastAsia="ja-JP"/>
              </w:rPr>
              <w:t>Fremdbilder wahrnehmen und mit Selbstbildern abgleichen können</w:t>
            </w:r>
          </w:p>
          <w:p w:rsidR="00F431D9" w:rsidRPr="00674937" w:rsidRDefault="00F431D9" w:rsidP="00F431D9">
            <w:pPr>
              <w:numPr>
                <w:ilvl w:val="0"/>
                <w:numId w:val="19"/>
              </w:numPr>
              <w:contextualSpacing/>
              <w:rPr>
                <w:rFonts w:eastAsia="Times New Roman"/>
                <w:sz w:val="20"/>
                <w:szCs w:val="20"/>
                <w:lang w:eastAsia="ja-JP"/>
              </w:rPr>
            </w:pPr>
            <w:r w:rsidRPr="00674937">
              <w:rPr>
                <w:rFonts w:eastAsia="Times New Roman"/>
                <w:sz w:val="20"/>
                <w:szCs w:val="20"/>
                <w:lang w:eastAsia="ja-JP"/>
              </w:rPr>
              <w:t xml:space="preserve"> ein inneres Leitbild entwickeln</w:t>
            </w:r>
          </w:p>
          <w:p w:rsidR="00F431D9" w:rsidRPr="00674937" w:rsidRDefault="00F431D9" w:rsidP="00F431D9">
            <w:pPr>
              <w:numPr>
                <w:ilvl w:val="0"/>
                <w:numId w:val="19"/>
              </w:numPr>
              <w:contextualSpacing/>
              <w:rPr>
                <w:rFonts w:eastAsia="Times New Roman"/>
                <w:sz w:val="20"/>
                <w:szCs w:val="20"/>
                <w:lang w:eastAsia="ja-JP"/>
              </w:rPr>
            </w:pPr>
            <w:r w:rsidRPr="00674937">
              <w:rPr>
                <w:rFonts w:eastAsia="Times New Roman"/>
                <w:sz w:val="20"/>
                <w:szCs w:val="20"/>
                <w:lang w:eastAsia="ja-JP"/>
              </w:rPr>
              <w:t>eigene Arbeitsbeziehungen hinsichtlich belastender und stärkender Einflüsse reflektieren</w:t>
            </w:r>
          </w:p>
          <w:p w:rsidR="00F431D9" w:rsidRPr="00674937" w:rsidRDefault="00F431D9" w:rsidP="00F431D9">
            <w:pPr>
              <w:numPr>
                <w:ilvl w:val="0"/>
                <w:numId w:val="19"/>
              </w:numPr>
              <w:contextualSpacing/>
              <w:rPr>
                <w:rFonts w:eastAsia="Times New Roman"/>
                <w:sz w:val="20"/>
                <w:szCs w:val="20"/>
                <w:lang w:eastAsia="ja-JP"/>
              </w:rPr>
            </w:pPr>
            <w:r w:rsidRPr="00674937">
              <w:rPr>
                <w:rFonts w:eastAsia="Times New Roman"/>
                <w:sz w:val="20"/>
                <w:szCs w:val="20"/>
                <w:lang w:eastAsia="ja-JP"/>
              </w:rPr>
              <w:t>ein Bewusstsein persönlicher Stärken und beruflicher Kompetenzen entwickeln</w:t>
            </w:r>
          </w:p>
          <w:p w:rsidR="00F431D9" w:rsidRPr="00674937" w:rsidRDefault="00F431D9" w:rsidP="00F431D9">
            <w:pPr>
              <w:ind w:left="360"/>
              <w:contextualSpacing/>
              <w:rPr>
                <w:rFonts w:eastAsia="Times New Roman"/>
                <w:sz w:val="20"/>
                <w:szCs w:val="20"/>
                <w:lang w:eastAsia="ja-JP"/>
              </w:rPr>
            </w:pPr>
          </w:p>
        </w:tc>
      </w:tr>
      <w:tr w:rsidR="00F431D9" w:rsidRPr="00BB6977" w:rsidTr="00F431D9">
        <w:tc>
          <w:tcPr>
            <w:tcW w:w="4606" w:type="dxa"/>
            <w:hideMark/>
          </w:tcPr>
          <w:p w:rsidR="00F431D9" w:rsidRPr="00674937" w:rsidRDefault="00F431D9" w:rsidP="00F431D9">
            <w:pPr>
              <w:ind w:left="426"/>
              <w:rPr>
                <w:rFonts w:eastAsia="Times New Roman"/>
                <w:sz w:val="20"/>
                <w:szCs w:val="20"/>
                <w:lang w:eastAsia="ja-JP"/>
              </w:rPr>
            </w:pPr>
            <w:r w:rsidRPr="00674937">
              <w:rPr>
                <w:rFonts w:eastAsia="Times New Roman"/>
                <w:sz w:val="20"/>
                <w:szCs w:val="20"/>
                <w:lang w:eastAsia="ja-JP"/>
              </w:rPr>
              <w:t>Die vom Seminar angebotenen Themen und Inhalte bilden ab, was ausgehend von Praxiserfahrungen theoriegeleitet reflektiert werden muss</w:t>
            </w:r>
            <w:proofErr w:type="gramStart"/>
            <w:r w:rsidRPr="00674937">
              <w:rPr>
                <w:rFonts w:eastAsia="Times New Roman"/>
                <w:sz w:val="20"/>
                <w:szCs w:val="20"/>
                <w:lang w:eastAsia="ja-JP"/>
              </w:rPr>
              <w:t>..</w:t>
            </w:r>
            <w:proofErr w:type="gramEnd"/>
          </w:p>
        </w:tc>
        <w:tc>
          <w:tcPr>
            <w:tcW w:w="4606" w:type="dxa"/>
            <w:hideMark/>
          </w:tcPr>
          <w:p w:rsidR="00F431D9" w:rsidRPr="00674937" w:rsidRDefault="00F431D9" w:rsidP="00F431D9">
            <w:pPr>
              <w:numPr>
                <w:ilvl w:val="0"/>
                <w:numId w:val="19"/>
              </w:numPr>
              <w:contextualSpacing/>
              <w:rPr>
                <w:rFonts w:eastAsia="Times New Roman"/>
                <w:sz w:val="20"/>
                <w:szCs w:val="20"/>
                <w:lang w:eastAsia="ja-JP"/>
              </w:rPr>
            </w:pPr>
            <w:r w:rsidRPr="00674937">
              <w:rPr>
                <w:rFonts w:eastAsia="Times New Roman"/>
                <w:sz w:val="20"/>
                <w:szCs w:val="20"/>
                <w:lang w:eastAsia="ja-JP"/>
              </w:rPr>
              <w:t>Umgang mit Unterrichtsstörungen</w:t>
            </w:r>
          </w:p>
          <w:p w:rsidR="00F431D9" w:rsidRPr="00674937" w:rsidRDefault="00F431D9" w:rsidP="00F431D9">
            <w:pPr>
              <w:numPr>
                <w:ilvl w:val="0"/>
                <w:numId w:val="19"/>
              </w:numPr>
              <w:contextualSpacing/>
              <w:rPr>
                <w:rFonts w:eastAsia="Times New Roman"/>
                <w:sz w:val="20"/>
                <w:szCs w:val="20"/>
                <w:lang w:eastAsia="ja-JP"/>
              </w:rPr>
            </w:pPr>
            <w:r w:rsidRPr="00674937">
              <w:rPr>
                <w:rFonts w:eastAsia="Times New Roman"/>
                <w:sz w:val="20"/>
                <w:szCs w:val="20"/>
                <w:lang w:eastAsia="ja-JP"/>
              </w:rPr>
              <w:t>Umgang mit Lern- und Verhaltensschwierigkeiten</w:t>
            </w:r>
          </w:p>
          <w:p w:rsidR="00F431D9" w:rsidRPr="00674937" w:rsidRDefault="00F431D9" w:rsidP="00F431D9">
            <w:pPr>
              <w:numPr>
                <w:ilvl w:val="0"/>
                <w:numId w:val="19"/>
              </w:numPr>
              <w:contextualSpacing/>
              <w:rPr>
                <w:rFonts w:eastAsia="Times New Roman"/>
                <w:sz w:val="20"/>
                <w:szCs w:val="20"/>
                <w:lang w:eastAsia="ja-JP"/>
              </w:rPr>
            </w:pPr>
            <w:r w:rsidRPr="00674937">
              <w:rPr>
                <w:rFonts w:eastAsia="Times New Roman"/>
                <w:sz w:val="20"/>
                <w:szCs w:val="20"/>
                <w:lang w:eastAsia="ja-JP"/>
              </w:rPr>
              <w:t>Zusammenarbeit mit Eltern</w:t>
            </w:r>
          </w:p>
          <w:p w:rsidR="00F431D9" w:rsidRPr="00674937" w:rsidRDefault="00F431D9" w:rsidP="00F431D9">
            <w:pPr>
              <w:numPr>
                <w:ilvl w:val="0"/>
                <w:numId w:val="19"/>
              </w:numPr>
              <w:contextualSpacing/>
              <w:rPr>
                <w:rFonts w:eastAsia="Times New Roman"/>
                <w:sz w:val="20"/>
                <w:szCs w:val="20"/>
                <w:lang w:eastAsia="ja-JP"/>
              </w:rPr>
            </w:pPr>
            <w:r w:rsidRPr="00674937">
              <w:rPr>
                <w:rFonts w:eastAsia="Times New Roman"/>
                <w:sz w:val="20"/>
                <w:szCs w:val="20"/>
                <w:lang w:eastAsia="ja-JP"/>
              </w:rPr>
              <w:t>Zusammenarbeit mit Lehrpersonen</w:t>
            </w:r>
          </w:p>
          <w:p w:rsidR="00F431D9" w:rsidRPr="00674937" w:rsidRDefault="00F431D9" w:rsidP="00F431D9">
            <w:pPr>
              <w:contextualSpacing/>
              <w:rPr>
                <w:rFonts w:eastAsia="Times New Roman"/>
                <w:sz w:val="20"/>
                <w:szCs w:val="20"/>
                <w:lang w:eastAsia="ja-JP"/>
              </w:rPr>
            </w:pPr>
          </w:p>
        </w:tc>
      </w:tr>
      <w:tr w:rsidR="003022C8" w:rsidTr="00F431D9">
        <w:tc>
          <w:tcPr>
            <w:tcW w:w="9212" w:type="dxa"/>
            <w:gridSpan w:val="2"/>
          </w:tcPr>
          <w:p w:rsidR="003022C8" w:rsidRPr="003022C8" w:rsidRDefault="003022C8" w:rsidP="003022C8">
            <w:pPr>
              <w:pStyle w:val="Listenabsatz"/>
              <w:numPr>
                <w:ilvl w:val="0"/>
                <w:numId w:val="1"/>
              </w:numPr>
              <w:rPr>
                <w:b/>
              </w:rPr>
            </w:pPr>
            <w:r w:rsidRPr="003022C8">
              <w:rPr>
                <w:b/>
              </w:rPr>
              <w:t>Beteiligte / Verantwortliche</w:t>
            </w:r>
          </w:p>
          <w:p w:rsidR="003022C8" w:rsidRDefault="00F431D9" w:rsidP="003022C8">
            <w:pPr>
              <w:pStyle w:val="Listenabsatz"/>
            </w:pPr>
            <w:r>
              <w:t xml:space="preserve">Steuergruppe: </w:t>
            </w:r>
            <w:r w:rsidR="00BE4D0C">
              <w:t xml:space="preserve">Burghardt, </w:t>
            </w:r>
            <w:proofErr w:type="spellStart"/>
            <w:r w:rsidR="00BE4D0C">
              <w:t>Bolay</w:t>
            </w:r>
            <w:proofErr w:type="spellEnd"/>
            <w:r w:rsidR="00BE4D0C">
              <w:t>, Peter, Stecher</w:t>
            </w:r>
          </w:p>
          <w:p w:rsidR="00DA1BB2" w:rsidRDefault="00DA1BB2" w:rsidP="003022C8">
            <w:pPr>
              <w:pStyle w:val="Listenabsatz"/>
            </w:pPr>
          </w:p>
        </w:tc>
      </w:tr>
    </w:tbl>
    <w:p w:rsidR="00F431D9" w:rsidRDefault="00F431D9" w:rsidP="00F431D9">
      <w:pPr>
        <w:spacing w:after="0" w:line="240" w:lineRule="auto"/>
      </w:pPr>
    </w:p>
    <w:p w:rsidR="00F431D9" w:rsidRPr="002F5844" w:rsidRDefault="002F5844">
      <w:pPr>
        <w:rPr>
          <w:b/>
        </w:rPr>
      </w:pPr>
      <w:r w:rsidRPr="002F5844">
        <w:rPr>
          <w:b/>
        </w:rPr>
        <w:t>Stand: Februar 2014</w:t>
      </w:r>
    </w:p>
    <w:tbl>
      <w:tblPr>
        <w:tblStyle w:val="Tabellenraster"/>
        <w:tblW w:w="0" w:type="auto"/>
        <w:tblLook w:val="04A0" w:firstRow="1" w:lastRow="0" w:firstColumn="1" w:lastColumn="0" w:noHBand="0" w:noVBand="1"/>
      </w:tblPr>
      <w:tblGrid>
        <w:gridCol w:w="9212"/>
      </w:tblGrid>
      <w:tr w:rsidR="003D31FF" w:rsidTr="003D31FF">
        <w:tc>
          <w:tcPr>
            <w:tcW w:w="9212" w:type="dxa"/>
          </w:tcPr>
          <w:p w:rsidR="007664A3" w:rsidRPr="007664A3" w:rsidRDefault="007664A3" w:rsidP="007664A3">
            <w:pPr>
              <w:rPr>
                <w:sz w:val="18"/>
                <w:szCs w:val="18"/>
              </w:rPr>
            </w:pPr>
            <w:r>
              <w:rPr>
                <w:b/>
              </w:rPr>
              <w:t xml:space="preserve">Aspekte </w:t>
            </w:r>
            <w:r w:rsidRPr="007664A3">
              <w:rPr>
                <w:sz w:val="18"/>
                <w:szCs w:val="18"/>
              </w:rPr>
              <w:t>(Dokumentation zeitlich geordnet auf den nachfolgenden Seiten)</w:t>
            </w:r>
          </w:p>
          <w:p w:rsidR="007664A3" w:rsidRPr="007664A3" w:rsidRDefault="007664A3" w:rsidP="007664A3">
            <w:pPr>
              <w:pStyle w:val="Listenabsatz"/>
              <w:numPr>
                <w:ilvl w:val="0"/>
                <w:numId w:val="1"/>
              </w:numPr>
              <w:rPr>
                <w:b/>
              </w:rPr>
            </w:pPr>
            <w:r w:rsidRPr="007664A3">
              <w:rPr>
                <w:b/>
              </w:rPr>
              <w:t xml:space="preserve">Art der Durchführung </w:t>
            </w:r>
          </w:p>
          <w:p w:rsidR="007664A3" w:rsidRDefault="002F5844" w:rsidP="001C635F">
            <w:pPr>
              <w:pStyle w:val="Listenabsatz"/>
              <w:numPr>
                <w:ilvl w:val="0"/>
                <w:numId w:val="22"/>
              </w:numPr>
              <w:rPr>
                <w:sz w:val="18"/>
                <w:szCs w:val="18"/>
              </w:rPr>
            </w:pPr>
            <w:r>
              <w:rPr>
                <w:sz w:val="18"/>
                <w:szCs w:val="18"/>
              </w:rPr>
              <w:t>Die Ausbilder aus Erstfach und d SPH melden in einer Matrix zurück, was inhaltlich und methodisch in den Ausbildungsgruppen zu den Kompetenzen aus dem Kompetenzbereich</w:t>
            </w:r>
            <w:r w:rsidR="001C635F">
              <w:rPr>
                <w:sz w:val="18"/>
                <w:szCs w:val="18"/>
              </w:rPr>
              <w:t xml:space="preserve"> </w:t>
            </w:r>
            <w:r w:rsidR="001C635F" w:rsidRPr="001C635F">
              <w:rPr>
                <w:sz w:val="18"/>
                <w:szCs w:val="18"/>
              </w:rPr>
              <w:t xml:space="preserve">Berufs- und Rollenverständnis entwickeln </w:t>
            </w:r>
            <w:r w:rsidR="001C635F" w:rsidRPr="001C635F">
              <w:rPr>
                <w:sz w:val="18"/>
                <w:szCs w:val="18"/>
              </w:rPr>
              <w:lastRenderedPageBreak/>
              <w:t>und gestalten</w:t>
            </w:r>
            <w:r w:rsidR="001C635F">
              <w:rPr>
                <w:sz w:val="18"/>
                <w:szCs w:val="18"/>
              </w:rPr>
              <w:t xml:space="preserve"> bearbeitet wurde.</w:t>
            </w:r>
          </w:p>
          <w:p w:rsidR="001C635F" w:rsidRDefault="00EF29AA" w:rsidP="001C635F">
            <w:pPr>
              <w:pStyle w:val="Listenabsatz"/>
              <w:numPr>
                <w:ilvl w:val="0"/>
                <w:numId w:val="22"/>
              </w:numPr>
              <w:rPr>
                <w:sz w:val="18"/>
                <w:szCs w:val="18"/>
              </w:rPr>
            </w:pPr>
            <w:r>
              <w:rPr>
                <w:sz w:val="18"/>
                <w:szCs w:val="18"/>
              </w:rPr>
              <w:t>Die Leitung nimmt eine Zusammenstellung der Ergebnisse vor.</w:t>
            </w:r>
          </w:p>
          <w:p w:rsidR="00EF29AA" w:rsidRPr="009E61AF" w:rsidRDefault="00EF29AA" w:rsidP="00EF29AA">
            <w:pPr>
              <w:pStyle w:val="Listenabsatz"/>
              <w:numPr>
                <w:ilvl w:val="0"/>
                <w:numId w:val="22"/>
              </w:numPr>
              <w:rPr>
                <w:i/>
                <w:sz w:val="18"/>
                <w:szCs w:val="18"/>
              </w:rPr>
            </w:pPr>
            <w:r>
              <w:rPr>
                <w:sz w:val="18"/>
                <w:szCs w:val="18"/>
              </w:rPr>
              <w:t xml:space="preserve">Ein Bereich reflektiert </w:t>
            </w:r>
            <w:proofErr w:type="spellStart"/>
            <w:r>
              <w:rPr>
                <w:sz w:val="18"/>
                <w:szCs w:val="18"/>
              </w:rPr>
              <w:t>Einlösesituation</w:t>
            </w:r>
            <w:proofErr w:type="spellEnd"/>
            <w:r>
              <w:rPr>
                <w:sz w:val="18"/>
                <w:szCs w:val="18"/>
              </w:rPr>
              <w:t xml:space="preserve"> für aus dem Kompetenzbereich </w:t>
            </w:r>
            <w:r w:rsidRPr="00EF29AA">
              <w:rPr>
                <w:i/>
                <w:sz w:val="18"/>
                <w:szCs w:val="18"/>
              </w:rPr>
              <w:t>Berufs- und Rollenverständnis entwickeln und gestalten</w:t>
            </w:r>
            <w:r>
              <w:rPr>
                <w:i/>
                <w:sz w:val="18"/>
                <w:szCs w:val="18"/>
              </w:rPr>
              <w:t xml:space="preserve"> </w:t>
            </w:r>
            <w:r>
              <w:rPr>
                <w:sz w:val="18"/>
                <w:szCs w:val="18"/>
              </w:rPr>
              <w:t xml:space="preserve">mit </w:t>
            </w:r>
            <w:proofErr w:type="spellStart"/>
            <w:r>
              <w:rPr>
                <w:sz w:val="18"/>
                <w:szCs w:val="18"/>
              </w:rPr>
              <w:t>c</w:t>
            </w:r>
            <w:r w:rsidR="009E61AF">
              <w:rPr>
                <w:sz w:val="18"/>
                <w:szCs w:val="18"/>
              </w:rPr>
              <w:t>a</w:t>
            </w:r>
            <w:proofErr w:type="spellEnd"/>
            <w:r w:rsidR="009E61AF">
              <w:rPr>
                <w:sz w:val="18"/>
                <w:szCs w:val="18"/>
              </w:rPr>
              <w:t xml:space="preserve"> 60 Mentoren anlässlich einer </w:t>
            </w:r>
            <w:proofErr w:type="spellStart"/>
            <w:r w:rsidR="009E61AF">
              <w:rPr>
                <w:sz w:val="18"/>
                <w:szCs w:val="18"/>
              </w:rPr>
              <w:t>M</w:t>
            </w:r>
            <w:r>
              <w:rPr>
                <w:sz w:val="18"/>
                <w:szCs w:val="18"/>
              </w:rPr>
              <w:t>entorenfortbildung</w:t>
            </w:r>
            <w:proofErr w:type="spellEnd"/>
          </w:p>
          <w:p w:rsidR="003D31FF" w:rsidRPr="00A31866" w:rsidRDefault="009E61AF" w:rsidP="007664A3">
            <w:pPr>
              <w:pStyle w:val="Listenabsatz"/>
              <w:numPr>
                <w:ilvl w:val="0"/>
                <w:numId w:val="22"/>
              </w:numPr>
              <w:rPr>
                <w:i/>
                <w:sz w:val="18"/>
                <w:szCs w:val="18"/>
              </w:rPr>
            </w:pPr>
            <w:r>
              <w:rPr>
                <w:sz w:val="18"/>
                <w:szCs w:val="18"/>
              </w:rPr>
              <w:t xml:space="preserve">Anlässlich einer Abteilungskonferenz werden die Ergebnisse der Erhebung in Erstfach und SPH sowie die Ergebnisse der </w:t>
            </w:r>
            <w:proofErr w:type="spellStart"/>
            <w:r>
              <w:rPr>
                <w:sz w:val="18"/>
                <w:szCs w:val="18"/>
              </w:rPr>
              <w:t>Mentorenfortbildung</w:t>
            </w:r>
            <w:proofErr w:type="spellEnd"/>
            <w:r>
              <w:rPr>
                <w:sz w:val="18"/>
                <w:szCs w:val="18"/>
              </w:rPr>
              <w:t xml:space="preserve"> vorgestellt und im Hinblick auf vorhandene Qualitäten und Veränderungsbedarf reflektiert.</w:t>
            </w:r>
          </w:p>
          <w:p w:rsidR="00A31866" w:rsidRPr="00A31866" w:rsidRDefault="00A31866" w:rsidP="00A31866">
            <w:pPr>
              <w:pStyle w:val="Listenabsatz"/>
              <w:rPr>
                <w:i/>
                <w:sz w:val="18"/>
                <w:szCs w:val="18"/>
              </w:rPr>
            </w:pPr>
          </w:p>
        </w:tc>
      </w:tr>
      <w:tr w:rsidR="00A31866" w:rsidRPr="0019482F" w:rsidTr="00A93B7A">
        <w:tc>
          <w:tcPr>
            <w:tcW w:w="9212" w:type="dxa"/>
          </w:tcPr>
          <w:p w:rsidR="00A31866" w:rsidRPr="003D31FF" w:rsidRDefault="00A31866" w:rsidP="00A93B7A">
            <w:pPr>
              <w:rPr>
                <w:b/>
              </w:rPr>
            </w:pPr>
            <w:r w:rsidRPr="003D31FF">
              <w:rPr>
                <w:b/>
              </w:rPr>
              <w:lastRenderedPageBreak/>
              <w:t>Institutionelle Einbindung</w:t>
            </w:r>
          </w:p>
        </w:tc>
      </w:tr>
      <w:tr w:rsidR="00A31866" w:rsidTr="00A93B7A">
        <w:tc>
          <w:tcPr>
            <w:tcW w:w="9212" w:type="dxa"/>
          </w:tcPr>
          <w:p w:rsidR="00A31866" w:rsidRDefault="00A31866" w:rsidP="00A31866">
            <w:r w:rsidRPr="00A31866">
              <w:t xml:space="preserve">Die Vorbereitungsgruppe der Bad Wildbad Tagung </w:t>
            </w:r>
            <w:r w:rsidR="0057643A">
              <w:t xml:space="preserve">im Sept. 2014 zur Ausgestaltung der SPO II </w:t>
            </w:r>
            <w:r w:rsidRPr="00A31866">
              <w:t>nimmt die Ergebnisse des Beratungsprozesses in ihre Planungen mit auf.</w:t>
            </w:r>
          </w:p>
          <w:p w:rsidR="00A31866" w:rsidRDefault="00A31866" w:rsidP="00A31866"/>
        </w:tc>
      </w:tr>
      <w:tr w:rsidR="00A31866" w:rsidRPr="0019482F" w:rsidTr="00A93B7A">
        <w:tc>
          <w:tcPr>
            <w:tcW w:w="9212" w:type="dxa"/>
          </w:tcPr>
          <w:p w:rsidR="00A31866" w:rsidRPr="003D31FF" w:rsidRDefault="00A31866" w:rsidP="00A93B7A">
            <w:pPr>
              <w:rPr>
                <w:b/>
              </w:rPr>
            </w:pPr>
            <w:r w:rsidRPr="003D31FF">
              <w:rPr>
                <w:b/>
              </w:rPr>
              <w:t>Wirkung</w:t>
            </w:r>
          </w:p>
        </w:tc>
      </w:tr>
      <w:tr w:rsidR="00A31866" w:rsidTr="00A93B7A">
        <w:tc>
          <w:tcPr>
            <w:tcW w:w="9212" w:type="dxa"/>
          </w:tcPr>
          <w:p w:rsidR="00A31866" w:rsidRDefault="00A31866" w:rsidP="00A31866">
            <w:r>
              <w:t>o</w:t>
            </w:r>
            <w:r>
              <w:tab/>
              <w:t>Bestehende Strukturen des Seminars müssen auf den Prüfstand gestellt werden.</w:t>
            </w:r>
          </w:p>
          <w:p w:rsidR="00A31866" w:rsidRDefault="00A31866" w:rsidP="00A31866">
            <w:r>
              <w:t>o</w:t>
            </w:r>
            <w:r>
              <w:tab/>
              <w:t>Kompetenzen und Handlungsfelder müssen in Beziehung gesetzt werden.</w:t>
            </w:r>
          </w:p>
          <w:p w:rsidR="00A31866" w:rsidRDefault="00A31866" w:rsidP="00A31866">
            <w:r>
              <w:t>o</w:t>
            </w:r>
            <w:r>
              <w:tab/>
              <w:t>Bei der Suche und Ausgestaltung  von Handlungsfeldern sind wir auf unsere Partner (Schulen) angewiesen.</w:t>
            </w:r>
          </w:p>
          <w:p w:rsidR="00A31866" w:rsidRDefault="00A31866" w:rsidP="00A31866">
            <w:r>
              <w:t>o</w:t>
            </w:r>
            <w:r>
              <w:tab/>
              <w:t xml:space="preserve">Qualitäten in Bezug auf das </w:t>
            </w:r>
            <w:proofErr w:type="spellStart"/>
            <w:r>
              <w:t>Einlösefeld</w:t>
            </w:r>
            <w:proofErr w:type="spellEnd"/>
            <w:r>
              <w:t xml:space="preserve"> Unterricht sind auf sehr hohem Niveau.</w:t>
            </w:r>
          </w:p>
          <w:p w:rsidR="00A31866" w:rsidRDefault="00A31866" w:rsidP="00A31866">
            <w:r>
              <w:t>o</w:t>
            </w:r>
            <w:r>
              <w:tab/>
              <w:t xml:space="preserve">Andere </w:t>
            </w:r>
            <w:proofErr w:type="spellStart"/>
            <w:r>
              <w:t>Einlösefelder</w:t>
            </w:r>
            <w:proofErr w:type="spellEnd"/>
            <w:r>
              <w:t xml:space="preserve"> müssen stärker in den Fokus genommen werden um dort eine gleiche Qualität zu erreichen.</w:t>
            </w:r>
          </w:p>
          <w:p w:rsidR="00A31866" w:rsidRDefault="00A31866" w:rsidP="00A31866">
            <w:r>
              <w:t>Diese Denkweise muss im Umgang mit der neuen SPO II mitgebracht werden. Es muss über eine Weiterentwicklung der bestehenden Ausbildungsformate nachgedacht werden</w:t>
            </w:r>
          </w:p>
        </w:tc>
      </w:tr>
    </w:tbl>
    <w:p w:rsidR="00FA5106" w:rsidRDefault="00FA5106"/>
    <w:p w:rsidR="003022C8" w:rsidRPr="00DE270C" w:rsidRDefault="003022C8">
      <w:pPr>
        <w:rPr>
          <w:b/>
        </w:rPr>
      </w:pPr>
      <w:r w:rsidRPr="00DE270C">
        <w:rPr>
          <w:b/>
        </w:rPr>
        <w:t>Stand: September 2013</w:t>
      </w:r>
    </w:p>
    <w:tbl>
      <w:tblPr>
        <w:tblStyle w:val="Tabellenraster"/>
        <w:tblW w:w="0" w:type="auto"/>
        <w:tblLook w:val="04A0" w:firstRow="1" w:lastRow="0" w:firstColumn="1" w:lastColumn="0" w:noHBand="0" w:noVBand="1"/>
      </w:tblPr>
      <w:tblGrid>
        <w:gridCol w:w="9212"/>
      </w:tblGrid>
      <w:tr w:rsidR="003022C8" w:rsidRPr="0019482F" w:rsidTr="003022C8">
        <w:tc>
          <w:tcPr>
            <w:tcW w:w="9212" w:type="dxa"/>
          </w:tcPr>
          <w:p w:rsidR="00DE270C" w:rsidRPr="003D31FF" w:rsidRDefault="003022C8" w:rsidP="003D31FF">
            <w:pPr>
              <w:rPr>
                <w:b/>
              </w:rPr>
            </w:pPr>
            <w:r w:rsidRPr="003D31FF">
              <w:rPr>
                <w:b/>
              </w:rPr>
              <w:t>Art der Durchführung</w:t>
            </w:r>
          </w:p>
        </w:tc>
      </w:tr>
      <w:tr w:rsidR="00DE270C" w:rsidTr="003022C8">
        <w:tc>
          <w:tcPr>
            <w:tcW w:w="9212" w:type="dxa"/>
          </w:tcPr>
          <w:p w:rsidR="00B07D2C" w:rsidRDefault="00B07D2C" w:rsidP="00B07D2C">
            <w:pPr>
              <w:pStyle w:val="Listenabsatz"/>
              <w:numPr>
                <w:ilvl w:val="0"/>
                <w:numId w:val="16"/>
              </w:numPr>
            </w:pPr>
            <w:r>
              <w:t>18.07.13 Beratung der Ausarbeitung in der Abteilungskonferenz,</w:t>
            </w:r>
          </w:p>
          <w:p w:rsidR="00B07D2C" w:rsidRDefault="00B07D2C" w:rsidP="00B07D2C">
            <w:pPr>
              <w:pStyle w:val="Listenabsatz"/>
              <w:numPr>
                <w:ilvl w:val="0"/>
                <w:numId w:val="16"/>
              </w:numPr>
            </w:pPr>
            <w:r>
              <w:t xml:space="preserve">Juni 2013 Überarbeitung der Matrix zur Erfassung von Themen und Inhalten (Steuergruppe: Burghardt, </w:t>
            </w:r>
            <w:proofErr w:type="spellStart"/>
            <w:r>
              <w:t>Bolay</w:t>
            </w:r>
            <w:proofErr w:type="spellEnd"/>
            <w:r>
              <w:t>, Peter, Stecher)</w:t>
            </w:r>
          </w:p>
          <w:p w:rsidR="00DE270C" w:rsidRDefault="00B07D2C" w:rsidP="00B07D2C">
            <w:pPr>
              <w:pStyle w:val="Listenabsatz"/>
              <w:numPr>
                <w:ilvl w:val="0"/>
                <w:numId w:val="16"/>
              </w:numPr>
            </w:pPr>
            <w:r>
              <w:t xml:space="preserve">Mai 2013 </w:t>
            </w:r>
            <w:r w:rsidR="007271BD">
              <w:t xml:space="preserve">Beratung der Ergebnisse der Arbeitsgruppe in </w:t>
            </w:r>
            <w:r>
              <w:t>der</w:t>
            </w:r>
            <w:r w:rsidR="007271BD">
              <w:t xml:space="preserve"> Abteilungskonferenz</w:t>
            </w:r>
            <w:r>
              <w:t xml:space="preserve">, Überarbeitung der Vorschläge, Vorformulierung von Leitgedanken (verantw. Leitungsteam: Burghardt, Klingler-Neumann, Stecher, </w:t>
            </w:r>
            <w:proofErr w:type="spellStart"/>
            <w:r>
              <w:t>Bolay</w:t>
            </w:r>
            <w:proofErr w:type="spellEnd"/>
            <w:r>
              <w:t>)</w:t>
            </w:r>
          </w:p>
        </w:tc>
      </w:tr>
    </w:tbl>
    <w:p w:rsidR="003022C8" w:rsidRDefault="003022C8"/>
    <w:tbl>
      <w:tblPr>
        <w:tblStyle w:val="Tabellenraster"/>
        <w:tblW w:w="0" w:type="auto"/>
        <w:tblLook w:val="04A0" w:firstRow="1" w:lastRow="0" w:firstColumn="1" w:lastColumn="0" w:noHBand="0" w:noVBand="1"/>
      </w:tblPr>
      <w:tblGrid>
        <w:gridCol w:w="9212"/>
      </w:tblGrid>
      <w:tr w:rsidR="003022C8" w:rsidRPr="0019482F" w:rsidTr="003022C8">
        <w:tc>
          <w:tcPr>
            <w:tcW w:w="9212" w:type="dxa"/>
          </w:tcPr>
          <w:p w:rsidR="00DE270C" w:rsidRPr="003D31FF" w:rsidRDefault="003022C8" w:rsidP="003D31FF">
            <w:pPr>
              <w:rPr>
                <w:b/>
              </w:rPr>
            </w:pPr>
            <w:r w:rsidRPr="003D31FF">
              <w:rPr>
                <w:b/>
              </w:rPr>
              <w:t>Institutionelle Einbindung</w:t>
            </w:r>
          </w:p>
        </w:tc>
      </w:tr>
      <w:tr w:rsidR="00DE270C" w:rsidTr="003022C8">
        <w:tc>
          <w:tcPr>
            <w:tcW w:w="9212" w:type="dxa"/>
          </w:tcPr>
          <w:p w:rsidR="00FA5106" w:rsidRPr="004576F6" w:rsidRDefault="004576F6" w:rsidP="00FA5106">
            <w:pPr>
              <w:pStyle w:val="Listenabsatz"/>
              <w:numPr>
                <w:ilvl w:val="0"/>
                <w:numId w:val="17"/>
              </w:numPr>
              <w:rPr>
                <w:sz w:val="20"/>
                <w:szCs w:val="20"/>
              </w:rPr>
            </w:pPr>
            <w:r>
              <w:t>Das Kollegium verständigt sich darauf</w:t>
            </w:r>
            <w:r w:rsidR="00B07D2C" w:rsidRPr="008E28BB">
              <w:t xml:space="preserve">, dass in Anlehnung an den Beratungsprozess, die Erstfachausbilder/innen Kurs 19 ab sofort, gemäß der bei der letzten </w:t>
            </w:r>
            <w:proofErr w:type="spellStart"/>
            <w:r w:rsidR="00B07D2C" w:rsidRPr="008E28BB">
              <w:t>Abt.Konferenz</w:t>
            </w:r>
            <w:proofErr w:type="spellEnd"/>
            <w:r w:rsidR="00B07D2C" w:rsidRPr="008E28BB">
              <w:t xml:space="preserve"> beschlossenen Doku-Form, Inhalte dokumentieren, die zu diesem Kompetenzbereich in der Ausbildungsgruppe behandelt wurden bzw. ab jetzt behandelt werden. Ebenfalls </w:t>
            </w:r>
            <w:r>
              <w:t xml:space="preserve">wird von </w:t>
            </w:r>
            <w:r w:rsidR="00B07D2C" w:rsidRPr="008E28BB">
              <w:t>den SPH-Ausbildern</w:t>
            </w:r>
            <w:r>
              <w:t xml:space="preserve"> ab Sept. 2013</w:t>
            </w:r>
            <w:r w:rsidR="00B07D2C" w:rsidRPr="008E28BB">
              <w:t xml:space="preserve"> dokumentiert, was ab jetzt in der SPH-Ausbildung zu dieser Thematik behandelt wird. Die Leitung wird </w:t>
            </w:r>
            <w:r>
              <w:t xml:space="preserve">mit </w:t>
            </w:r>
            <w:r w:rsidR="00B07D2C" w:rsidRPr="008E28BB">
              <w:t xml:space="preserve">den nebenamtlichen Ausbilder/innen </w:t>
            </w:r>
            <w:r>
              <w:t xml:space="preserve">am 10 Okt. 2013 </w:t>
            </w:r>
            <w:r w:rsidR="00B07D2C" w:rsidRPr="008E28BB">
              <w:t>Intention und Aufgabe dieser Qualitätsentwicklungsaufgabe zu besprechen. Es besteht die Absicht anlässlich der Klausurtagung im Januar 2014 zu reflektieren, wie die Daten aufbereitet und für eine Maßnahmenplanung genutzt werden können.</w:t>
            </w:r>
          </w:p>
          <w:p w:rsidR="004576F6" w:rsidRPr="00A72670" w:rsidRDefault="004576F6" w:rsidP="00FA5106">
            <w:pPr>
              <w:pStyle w:val="Listenabsatz"/>
              <w:numPr>
                <w:ilvl w:val="0"/>
                <w:numId w:val="17"/>
              </w:numPr>
              <w:rPr>
                <w:sz w:val="20"/>
                <w:szCs w:val="20"/>
              </w:rPr>
            </w:pPr>
            <w:r>
              <w:t>Die Ausbilder/innen in Schul- und Beamtenrecht sowie die Zweitfachausbilder/innen dokumentieren ihre Einlassungen zu Beruf und Rolle ab Februar 2014.</w:t>
            </w:r>
          </w:p>
          <w:p w:rsidR="00DE270C" w:rsidRDefault="00DE270C" w:rsidP="00B07D2C">
            <w:pPr>
              <w:ind w:left="720"/>
            </w:pPr>
          </w:p>
        </w:tc>
      </w:tr>
    </w:tbl>
    <w:p w:rsidR="003022C8" w:rsidRDefault="003022C8"/>
    <w:tbl>
      <w:tblPr>
        <w:tblStyle w:val="Tabellenraster"/>
        <w:tblW w:w="0" w:type="auto"/>
        <w:tblLook w:val="04A0" w:firstRow="1" w:lastRow="0" w:firstColumn="1" w:lastColumn="0" w:noHBand="0" w:noVBand="1"/>
      </w:tblPr>
      <w:tblGrid>
        <w:gridCol w:w="9212"/>
      </w:tblGrid>
      <w:tr w:rsidR="003022C8" w:rsidRPr="0019482F" w:rsidTr="003022C8">
        <w:tc>
          <w:tcPr>
            <w:tcW w:w="9212" w:type="dxa"/>
          </w:tcPr>
          <w:p w:rsidR="00DE270C" w:rsidRPr="003D31FF" w:rsidRDefault="003022C8" w:rsidP="003D31FF">
            <w:pPr>
              <w:rPr>
                <w:b/>
              </w:rPr>
            </w:pPr>
            <w:r w:rsidRPr="003D31FF">
              <w:rPr>
                <w:b/>
              </w:rPr>
              <w:t>Wirkung</w:t>
            </w:r>
          </w:p>
        </w:tc>
      </w:tr>
      <w:tr w:rsidR="00DE270C" w:rsidTr="003022C8">
        <w:tc>
          <w:tcPr>
            <w:tcW w:w="9212" w:type="dxa"/>
          </w:tcPr>
          <w:p w:rsidR="00B07D2C" w:rsidRDefault="00B07D2C" w:rsidP="00B07D2C">
            <w:pPr>
              <w:numPr>
                <w:ilvl w:val="0"/>
                <w:numId w:val="6"/>
              </w:numPr>
            </w:pPr>
          </w:p>
        </w:tc>
      </w:tr>
    </w:tbl>
    <w:p w:rsidR="003022C8" w:rsidRDefault="003022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D31FF" w:rsidRPr="00FB179A" w:rsidTr="005B63CC">
        <w:tc>
          <w:tcPr>
            <w:tcW w:w="9212" w:type="dxa"/>
            <w:shd w:val="clear" w:color="auto" w:fill="auto"/>
          </w:tcPr>
          <w:p w:rsidR="003D31FF" w:rsidRPr="00DF376D" w:rsidRDefault="003D31FF" w:rsidP="005B63CC">
            <w:pPr>
              <w:spacing w:after="0" w:line="240" w:lineRule="auto"/>
              <w:rPr>
                <w:rFonts w:ascii="ArialNarrow" w:hAnsi="ArialNarrow" w:cs="ArialNarrow"/>
                <w:szCs w:val="24"/>
                <w:lang w:eastAsia="de-DE"/>
              </w:rPr>
            </w:pPr>
            <w:r w:rsidRPr="003D31FF">
              <w:rPr>
                <w:rFonts w:ascii="ArialNarrow" w:hAnsi="ArialNarrow" w:cs="ArialNarrow"/>
                <w:b/>
                <w:sz w:val="20"/>
                <w:szCs w:val="20"/>
                <w:lang w:eastAsia="de-DE"/>
              </w:rPr>
              <w:lastRenderedPageBreak/>
              <w:t>Anlage</w:t>
            </w:r>
            <w:r w:rsidRPr="00DF376D">
              <w:rPr>
                <w:rFonts w:ascii="ArialNarrow" w:hAnsi="ArialNarrow" w:cs="ArialNarrow"/>
                <w:szCs w:val="24"/>
                <w:lang w:eastAsia="de-DE"/>
              </w:rPr>
              <w:t xml:space="preserve">: </w:t>
            </w:r>
          </w:p>
        </w:tc>
      </w:tr>
      <w:tr w:rsidR="003D31FF" w:rsidRPr="00FB179A" w:rsidTr="005B63CC">
        <w:tc>
          <w:tcPr>
            <w:tcW w:w="9212" w:type="dxa"/>
            <w:shd w:val="clear" w:color="auto" w:fill="auto"/>
          </w:tcPr>
          <w:p w:rsidR="003D31FF" w:rsidRPr="008C7217" w:rsidRDefault="00B07D2C" w:rsidP="005B63CC">
            <w:pPr>
              <w:pStyle w:val="Listenabsatz"/>
              <w:numPr>
                <w:ilvl w:val="0"/>
                <w:numId w:val="6"/>
              </w:numPr>
              <w:rPr>
                <w:sz w:val="20"/>
                <w:szCs w:val="20"/>
              </w:rPr>
            </w:pPr>
            <w:r w:rsidRPr="00B95855">
              <w:rPr>
                <w:sz w:val="20"/>
                <w:szCs w:val="20"/>
                <w:highlight w:val="yellow"/>
              </w:rPr>
              <w:t>Matrix</w:t>
            </w:r>
            <w:r w:rsidR="00B95855" w:rsidRPr="00B95855">
              <w:rPr>
                <w:sz w:val="20"/>
                <w:szCs w:val="20"/>
                <w:highlight w:val="yellow"/>
              </w:rPr>
              <w:t xml:space="preserve"> (Kompetenzbereich Beruf und Rolle)</w:t>
            </w:r>
          </w:p>
        </w:tc>
      </w:tr>
    </w:tbl>
    <w:p w:rsidR="00FA5106" w:rsidRDefault="00FA5106">
      <w:pPr>
        <w:rPr>
          <w:b/>
        </w:rPr>
      </w:pPr>
    </w:p>
    <w:p w:rsidR="00BE4D0C" w:rsidRDefault="00BE4D0C">
      <w:pPr>
        <w:rPr>
          <w:b/>
        </w:rPr>
      </w:pPr>
      <w:r>
        <w:rPr>
          <w:b/>
        </w:rPr>
        <w:t xml:space="preserve">Stand: </w:t>
      </w:r>
      <w:r w:rsidR="009E06BF">
        <w:rPr>
          <w:b/>
        </w:rPr>
        <w:t xml:space="preserve">Frühjahr </w:t>
      </w:r>
      <w:r>
        <w:rPr>
          <w:b/>
        </w:rPr>
        <w:t>2013</w:t>
      </w:r>
    </w:p>
    <w:tbl>
      <w:tblPr>
        <w:tblStyle w:val="Tabellenraster"/>
        <w:tblW w:w="0" w:type="auto"/>
        <w:tblLook w:val="04A0" w:firstRow="1" w:lastRow="0" w:firstColumn="1" w:lastColumn="0" w:noHBand="0" w:noVBand="1"/>
      </w:tblPr>
      <w:tblGrid>
        <w:gridCol w:w="9212"/>
      </w:tblGrid>
      <w:tr w:rsidR="00DE270C" w:rsidTr="00EE113F">
        <w:tc>
          <w:tcPr>
            <w:tcW w:w="9212" w:type="dxa"/>
          </w:tcPr>
          <w:p w:rsidR="00DE270C" w:rsidRPr="003D31FF" w:rsidRDefault="00C9294C" w:rsidP="003D31FF">
            <w:pPr>
              <w:rPr>
                <w:b/>
              </w:rPr>
            </w:pPr>
            <w:r>
              <w:rPr>
                <w:b/>
              </w:rPr>
              <w:t>A</w:t>
            </w:r>
            <w:r w:rsidR="00DE270C" w:rsidRPr="003D31FF">
              <w:rPr>
                <w:b/>
              </w:rPr>
              <w:t>rt der Durchführung</w:t>
            </w:r>
          </w:p>
        </w:tc>
      </w:tr>
      <w:tr w:rsidR="00DE270C" w:rsidTr="00EE113F">
        <w:tc>
          <w:tcPr>
            <w:tcW w:w="9212" w:type="dxa"/>
          </w:tcPr>
          <w:p w:rsidR="009E06BF" w:rsidRDefault="009E06BF" w:rsidP="00BE4D0C">
            <w:pPr>
              <w:pStyle w:val="Listenabsatz"/>
              <w:numPr>
                <w:ilvl w:val="0"/>
                <w:numId w:val="14"/>
              </w:numPr>
            </w:pPr>
            <w:r>
              <w:t xml:space="preserve">Januar bis März 2013 Arbeitsgruppe (Peter, </w:t>
            </w:r>
            <w:proofErr w:type="spellStart"/>
            <w:r>
              <w:t>Bolay</w:t>
            </w:r>
            <w:proofErr w:type="spellEnd"/>
            <w:r>
              <w:t>, Egi)arbeitet Vorschlag zur Erfassung spezifischer Kompetenzen aus</w:t>
            </w:r>
          </w:p>
          <w:p w:rsidR="00BE4D0C" w:rsidRPr="00BE4D0C" w:rsidRDefault="00BE4D0C" w:rsidP="00BE4D0C">
            <w:pPr>
              <w:pStyle w:val="Listenabsatz"/>
              <w:numPr>
                <w:ilvl w:val="0"/>
                <w:numId w:val="14"/>
              </w:numPr>
            </w:pPr>
            <w:r w:rsidRPr="00BE4D0C">
              <w:t>Pädagogische Tage der Sonderschulabteilung im Januar 2013</w:t>
            </w:r>
          </w:p>
          <w:p w:rsidR="00BE4D0C" w:rsidRPr="00BE4D0C" w:rsidRDefault="00BE4D0C" w:rsidP="00BE4D0C">
            <w:pPr>
              <w:pStyle w:val="Listenabsatz"/>
            </w:pPr>
            <w:r w:rsidRPr="00BE4D0C">
              <w:t>Vortrag von  Michael Fischer und Christoph Nonnenmacher  „Sich selbst in den Blick nehmen...“ – Stärkung des Berufs- und Rollenverständnisses von angehenden Sonderschullehrerinnen und -lehrern</w:t>
            </w:r>
          </w:p>
          <w:p w:rsidR="00DE270C" w:rsidRDefault="00DE270C" w:rsidP="009E06BF">
            <w:pPr>
              <w:pStyle w:val="Listenabsatz"/>
            </w:pPr>
          </w:p>
        </w:tc>
      </w:tr>
    </w:tbl>
    <w:p w:rsidR="00DE270C" w:rsidRDefault="00DE270C" w:rsidP="00DE270C"/>
    <w:tbl>
      <w:tblPr>
        <w:tblStyle w:val="Tabellenraster"/>
        <w:tblW w:w="0" w:type="auto"/>
        <w:tblLook w:val="04A0" w:firstRow="1" w:lastRow="0" w:firstColumn="1" w:lastColumn="0" w:noHBand="0" w:noVBand="1"/>
      </w:tblPr>
      <w:tblGrid>
        <w:gridCol w:w="9212"/>
      </w:tblGrid>
      <w:tr w:rsidR="00DE270C" w:rsidRPr="008C7217" w:rsidTr="004B7EEE">
        <w:trPr>
          <w:cantSplit/>
        </w:trPr>
        <w:tc>
          <w:tcPr>
            <w:tcW w:w="9212" w:type="dxa"/>
          </w:tcPr>
          <w:p w:rsidR="00DE270C" w:rsidRPr="003D31FF" w:rsidRDefault="00DE270C" w:rsidP="003D31FF">
            <w:pPr>
              <w:rPr>
                <w:b/>
              </w:rPr>
            </w:pPr>
            <w:r w:rsidRPr="003D31FF">
              <w:rPr>
                <w:b/>
              </w:rPr>
              <w:t>Institutionelle Einbindung</w:t>
            </w:r>
          </w:p>
        </w:tc>
      </w:tr>
      <w:tr w:rsidR="00DE270C" w:rsidTr="004B7EEE">
        <w:trPr>
          <w:cantSplit/>
        </w:trPr>
        <w:tc>
          <w:tcPr>
            <w:tcW w:w="9212" w:type="dxa"/>
          </w:tcPr>
          <w:p w:rsidR="004B7EEE" w:rsidRDefault="004B7EEE" w:rsidP="004B7EEE">
            <w:pPr>
              <w:pStyle w:val="Listenabsatz"/>
              <w:rPr>
                <w:sz w:val="20"/>
                <w:szCs w:val="20"/>
              </w:rPr>
            </w:pPr>
          </w:p>
          <w:p w:rsidR="00B07D2C" w:rsidRPr="00BE4D0C" w:rsidRDefault="00B07D2C" w:rsidP="00B07D2C">
            <w:pPr>
              <w:pStyle w:val="Listenabsatz"/>
              <w:numPr>
                <w:ilvl w:val="0"/>
                <w:numId w:val="20"/>
              </w:numPr>
            </w:pPr>
            <w:r w:rsidRPr="00BE4D0C">
              <w:t>Wenn wir ein gemeinsames Curriculum wollen, müssen wir bereichsübergreifend arbeiten!!!</w:t>
            </w:r>
          </w:p>
          <w:p w:rsidR="00B07D2C" w:rsidRPr="00BE4D0C" w:rsidRDefault="00B07D2C" w:rsidP="00B07D2C">
            <w:pPr>
              <w:pStyle w:val="Listenabsatz"/>
              <w:numPr>
                <w:ilvl w:val="0"/>
                <w:numId w:val="20"/>
              </w:numPr>
            </w:pPr>
            <w:r w:rsidRPr="00BE4D0C">
              <w:t>Rechtzeitige Einbindung der Ausbildungspartner</w:t>
            </w:r>
          </w:p>
          <w:p w:rsidR="0019482F" w:rsidRDefault="00B07D2C" w:rsidP="00B07D2C">
            <w:pPr>
              <w:pStyle w:val="Listenabsatz"/>
              <w:numPr>
                <w:ilvl w:val="0"/>
                <w:numId w:val="8"/>
              </w:numPr>
            </w:pPr>
            <w:r w:rsidRPr="00BE4D0C">
              <w:t>Bildung einer bereichsübergreifenden Arbeitsgruppe</w:t>
            </w:r>
            <w:r>
              <w:t xml:space="preserve"> und</w:t>
            </w:r>
            <w:r w:rsidRPr="00BE4D0C">
              <w:t xml:space="preserve"> Festlegung der Themenbausteine</w:t>
            </w:r>
          </w:p>
        </w:tc>
      </w:tr>
    </w:tbl>
    <w:p w:rsidR="00DE270C" w:rsidRDefault="00DE270C" w:rsidP="00DE270C"/>
    <w:tbl>
      <w:tblPr>
        <w:tblStyle w:val="Tabellenraster"/>
        <w:tblW w:w="0" w:type="auto"/>
        <w:tblLook w:val="04A0" w:firstRow="1" w:lastRow="0" w:firstColumn="1" w:lastColumn="0" w:noHBand="0" w:noVBand="1"/>
      </w:tblPr>
      <w:tblGrid>
        <w:gridCol w:w="9212"/>
      </w:tblGrid>
      <w:tr w:rsidR="00DE270C" w:rsidRPr="008C7217" w:rsidTr="00EE113F">
        <w:tc>
          <w:tcPr>
            <w:tcW w:w="9212" w:type="dxa"/>
          </w:tcPr>
          <w:p w:rsidR="00DE270C" w:rsidRPr="003D31FF" w:rsidRDefault="008C7217" w:rsidP="003D31FF">
            <w:pPr>
              <w:rPr>
                <w:b/>
              </w:rPr>
            </w:pPr>
            <w:r w:rsidRPr="003D31FF">
              <w:rPr>
                <w:b/>
              </w:rPr>
              <w:t>Wirkung</w:t>
            </w:r>
          </w:p>
        </w:tc>
      </w:tr>
      <w:tr w:rsidR="00DE270C" w:rsidTr="00EE113F">
        <w:tc>
          <w:tcPr>
            <w:tcW w:w="9212" w:type="dxa"/>
          </w:tcPr>
          <w:p w:rsidR="00DE270C" w:rsidRDefault="00DE270C" w:rsidP="009E06BF">
            <w:pPr>
              <w:pStyle w:val="Listenabsatz"/>
              <w:numPr>
                <w:ilvl w:val="0"/>
                <w:numId w:val="20"/>
              </w:numPr>
            </w:pPr>
          </w:p>
        </w:tc>
      </w:tr>
    </w:tbl>
    <w:p w:rsidR="008C7217" w:rsidRDefault="008C72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C7217" w:rsidRPr="00FB179A" w:rsidTr="005B63CC">
        <w:tc>
          <w:tcPr>
            <w:tcW w:w="9212" w:type="dxa"/>
            <w:shd w:val="clear" w:color="auto" w:fill="auto"/>
          </w:tcPr>
          <w:p w:rsidR="008C7217" w:rsidRPr="00DF376D" w:rsidRDefault="008C7217" w:rsidP="005B63CC">
            <w:pPr>
              <w:spacing w:after="0" w:line="240" w:lineRule="auto"/>
              <w:rPr>
                <w:rFonts w:ascii="ArialNarrow" w:hAnsi="ArialNarrow" w:cs="ArialNarrow"/>
                <w:szCs w:val="24"/>
                <w:lang w:eastAsia="de-DE"/>
              </w:rPr>
            </w:pPr>
            <w:r w:rsidRPr="003D31FF">
              <w:rPr>
                <w:rFonts w:ascii="ArialNarrow" w:hAnsi="ArialNarrow" w:cs="ArialNarrow"/>
                <w:b/>
                <w:sz w:val="20"/>
                <w:szCs w:val="24"/>
                <w:lang w:eastAsia="de-DE"/>
              </w:rPr>
              <w:t>Anlage</w:t>
            </w:r>
            <w:r w:rsidRPr="00DF376D">
              <w:rPr>
                <w:rFonts w:ascii="ArialNarrow" w:hAnsi="ArialNarrow" w:cs="ArialNarrow"/>
                <w:szCs w:val="24"/>
                <w:lang w:eastAsia="de-DE"/>
              </w:rPr>
              <w:t xml:space="preserve">: </w:t>
            </w:r>
          </w:p>
        </w:tc>
      </w:tr>
      <w:tr w:rsidR="008C7217" w:rsidRPr="00FB179A" w:rsidTr="005B63CC">
        <w:tc>
          <w:tcPr>
            <w:tcW w:w="9212" w:type="dxa"/>
            <w:shd w:val="clear" w:color="auto" w:fill="auto"/>
          </w:tcPr>
          <w:p w:rsidR="008C7217" w:rsidRPr="00B95855" w:rsidRDefault="007271BD" w:rsidP="00B95855">
            <w:pPr>
              <w:pStyle w:val="Listenabsatz"/>
              <w:numPr>
                <w:ilvl w:val="0"/>
                <w:numId w:val="6"/>
              </w:numPr>
              <w:rPr>
                <w:sz w:val="20"/>
                <w:szCs w:val="20"/>
                <w:highlight w:val="yellow"/>
              </w:rPr>
            </w:pPr>
            <w:r w:rsidRPr="00B95855">
              <w:rPr>
                <w:sz w:val="20"/>
                <w:szCs w:val="20"/>
                <w:highlight w:val="yellow"/>
              </w:rPr>
              <w:t>Skript vom Vortrag</w:t>
            </w:r>
            <w:r w:rsidR="00B95855">
              <w:rPr>
                <w:sz w:val="20"/>
                <w:szCs w:val="20"/>
                <w:highlight w:val="yellow"/>
              </w:rPr>
              <w:t xml:space="preserve"> (</w:t>
            </w:r>
            <w:r w:rsidR="00B95855" w:rsidRPr="00B95855">
              <w:rPr>
                <w:sz w:val="20"/>
                <w:szCs w:val="20"/>
                <w:highlight w:val="yellow"/>
              </w:rPr>
              <w:t>Abt.Konferenz_Juli_13</w:t>
            </w:r>
            <w:r w:rsidR="00B95855">
              <w:rPr>
                <w:sz w:val="20"/>
                <w:szCs w:val="20"/>
              </w:rPr>
              <w:t>)</w:t>
            </w:r>
          </w:p>
          <w:p w:rsidR="007271BD" w:rsidRPr="008C7217" w:rsidRDefault="007271BD" w:rsidP="005B63CC">
            <w:pPr>
              <w:pStyle w:val="Listenabsatz"/>
              <w:numPr>
                <w:ilvl w:val="0"/>
                <w:numId w:val="6"/>
              </w:numPr>
              <w:rPr>
                <w:sz w:val="20"/>
                <w:szCs w:val="20"/>
              </w:rPr>
            </w:pPr>
            <w:r>
              <w:rPr>
                <w:sz w:val="20"/>
                <w:szCs w:val="20"/>
              </w:rPr>
              <w:t>Vorschlag für die Matrix</w:t>
            </w:r>
          </w:p>
        </w:tc>
      </w:tr>
    </w:tbl>
    <w:p w:rsidR="00DE270C" w:rsidRDefault="00DE270C"/>
    <w:sectPr w:rsidR="00DE270C" w:rsidSect="00AF212E">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8C7" w:rsidRDefault="003868C7" w:rsidP="0019482F">
      <w:pPr>
        <w:spacing w:after="0" w:line="240" w:lineRule="auto"/>
      </w:pPr>
      <w:r>
        <w:separator/>
      </w:r>
    </w:p>
  </w:endnote>
  <w:endnote w:type="continuationSeparator" w:id="0">
    <w:p w:rsidR="003868C7" w:rsidRDefault="003868C7" w:rsidP="00194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82F" w:rsidRPr="007664A3" w:rsidRDefault="0019482F" w:rsidP="007664A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8C7" w:rsidRDefault="003868C7" w:rsidP="0019482F">
      <w:pPr>
        <w:spacing w:after="0" w:line="240" w:lineRule="auto"/>
      </w:pPr>
      <w:r>
        <w:separator/>
      </w:r>
    </w:p>
  </w:footnote>
  <w:footnote w:type="continuationSeparator" w:id="0">
    <w:p w:rsidR="003868C7" w:rsidRDefault="003868C7" w:rsidP="00194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F7F"/>
    <w:multiLevelType w:val="hybridMultilevel"/>
    <w:tmpl w:val="9C980B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59505A"/>
    <w:multiLevelType w:val="hybridMultilevel"/>
    <w:tmpl w:val="9B7C754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643756E"/>
    <w:multiLevelType w:val="hybridMultilevel"/>
    <w:tmpl w:val="BA2CD784"/>
    <w:lvl w:ilvl="0" w:tplc="BFC8D6D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235ABC"/>
    <w:multiLevelType w:val="hybridMultilevel"/>
    <w:tmpl w:val="A412CF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DB872C2"/>
    <w:multiLevelType w:val="hybridMultilevel"/>
    <w:tmpl w:val="C048332E"/>
    <w:lvl w:ilvl="0" w:tplc="BFC8D6D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0E21F3"/>
    <w:multiLevelType w:val="hybridMultilevel"/>
    <w:tmpl w:val="1B642B6E"/>
    <w:lvl w:ilvl="0" w:tplc="BFC8D6D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BAF3344"/>
    <w:multiLevelType w:val="hybridMultilevel"/>
    <w:tmpl w:val="B32A05E2"/>
    <w:lvl w:ilvl="0" w:tplc="BFC8D6DC">
      <w:numFmt w:val="bullet"/>
      <w:lvlText w:val="-"/>
      <w:lvlJc w:val="left"/>
      <w:pPr>
        <w:ind w:left="1068" w:hanging="360"/>
      </w:pPr>
      <w:rPr>
        <w:rFonts w:ascii="Arial" w:eastAsia="Calibr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nsid w:val="21D35D50"/>
    <w:multiLevelType w:val="hybridMultilevel"/>
    <w:tmpl w:val="3612D4D2"/>
    <w:lvl w:ilvl="0" w:tplc="BFC8D6D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4592692"/>
    <w:multiLevelType w:val="hybridMultilevel"/>
    <w:tmpl w:val="E10E7FA6"/>
    <w:lvl w:ilvl="0" w:tplc="BFC8D6DC">
      <w:numFmt w:val="bullet"/>
      <w:lvlText w:val="-"/>
      <w:lvlJc w:val="left"/>
      <w:pPr>
        <w:tabs>
          <w:tab w:val="num" w:pos="720"/>
        </w:tabs>
        <w:ind w:left="720" w:hanging="360"/>
      </w:pPr>
      <w:rPr>
        <w:rFonts w:ascii="Arial" w:eastAsia="Calibri"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DAA0021"/>
    <w:multiLevelType w:val="hybridMultilevel"/>
    <w:tmpl w:val="A412CF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30E0369A"/>
    <w:multiLevelType w:val="hybridMultilevel"/>
    <w:tmpl w:val="A412CF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37E6254D"/>
    <w:multiLevelType w:val="hybridMultilevel"/>
    <w:tmpl w:val="50FC27E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9D432FC"/>
    <w:multiLevelType w:val="hybridMultilevel"/>
    <w:tmpl w:val="A412CF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3D2A23E2"/>
    <w:multiLevelType w:val="hybridMultilevel"/>
    <w:tmpl w:val="A412CF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DC32690"/>
    <w:multiLevelType w:val="hybridMultilevel"/>
    <w:tmpl w:val="1B10A1F2"/>
    <w:lvl w:ilvl="0" w:tplc="A9E2CB2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C0D5126"/>
    <w:multiLevelType w:val="hybridMultilevel"/>
    <w:tmpl w:val="A412CF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8AB5F73"/>
    <w:multiLevelType w:val="hybridMultilevel"/>
    <w:tmpl w:val="27A2F28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7">
    <w:nsid w:val="5C986CEC"/>
    <w:multiLevelType w:val="hybridMultilevel"/>
    <w:tmpl w:val="E1AE4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E535294"/>
    <w:multiLevelType w:val="hybridMultilevel"/>
    <w:tmpl w:val="6FA0E684"/>
    <w:lvl w:ilvl="0" w:tplc="3D2088E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87D42FF"/>
    <w:multiLevelType w:val="hybridMultilevel"/>
    <w:tmpl w:val="F0CE9974"/>
    <w:lvl w:ilvl="0" w:tplc="A9E2CB2C">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FBC61B6"/>
    <w:multiLevelType w:val="hybridMultilevel"/>
    <w:tmpl w:val="7C1A8EB8"/>
    <w:lvl w:ilvl="0" w:tplc="A9E2CB2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1A3547A"/>
    <w:multiLevelType w:val="hybridMultilevel"/>
    <w:tmpl w:val="8968D32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1"/>
  </w:num>
  <w:num w:numId="2">
    <w:abstractNumId w:val="3"/>
  </w:num>
  <w:num w:numId="3">
    <w:abstractNumId w:val="13"/>
  </w:num>
  <w:num w:numId="4">
    <w:abstractNumId w:val="12"/>
  </w:num>
  <w:num w:numId="5">
    <w:abstractNumId w:val="19"/>
  </w:num>
  <w:num w:numId="6">
    <w:abstractNumId w:val="8"/>
  </w:num>
  <w:num w:numId="7">
    <w:abstractNumId w:val="6"/>
  </w:num>
  <w:num w:numId="8">
    <w:abstractNumId w:val="7"/>
  </w:num>
  <w:num w:numId="9">
    <w:abstractNumId w:val="2"/>
  </w:num>
  <w:num w:numId="10">
    <w:abstractNumId w:val="11"/>
  </w:num>
  <w:num w:numId="11">
    <w:abstractNumId w:val="4"/>
  </w:num>
  <w:num w:numId="12">
    <w:abstractNumId w:val="1"/>
  </w:num>
  <w:num w:numId="13">
    <w:abstractNumId w:val="10"/>
  </w:num>
  <w:num w:numId="14">
    <w:abstractNumId w:val="14"/>
  </w:num>
  <w:num w:numId="15">
    <w:abstractNumId w:val="15"/>
  </w:num>
  <w:num w:numId="16">
    <w:abstractNumId w:val="20"/>
  </w:num>
  <w:num w:numId="17">
    <w:abstractNumId w:val="5"/>
  </w:num>
  <w:num w:numId="18">
    <w:abstractNumId w:val="9"/>
  </w:num>
  <w:num w:numId="19">
    <w:abstractNumId w:val="16"/>
  </w:num>
  <w:num w:numId="20">
    <w:abstractNumId w:val="18"/>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C8"/>
    <w:rsid w:val="000273F1"/>
    <w:rsid w:val="000643AC"/>
    <w:rsid w:val="000F604A"/>
    <w:rsid w:val="0010398E"/>
    <w:rsid w:val="0019482F"/>
    <w:rsid w:val="001C635F"/>
    <w:rsid w:val="002E3E12"/>
    <w:rsid w:val="002E7FDC"/>
    <w:rsid w:val="002F5844"/>
    <w:rsid w:val="003022C8"/>
    <w:rsid w:val="003868C7"/>
    <w:rsid w:val="003D31FF"/>
    <w:rsid w:val="003F5EAC"/>
    <w:rsid w:val="004576F6"/>
    <w:rsid w:val="004B7EEE"/>
    <w:rsid w:val="00564C8F"/>
    <w:rsid w:val="0057261A"/>
    <w:rsid w:val="0057643A"/>
    <w:rsid w:val="00674937"/>
    <w:rsid w:val="007271BD"/>
    <w:rsid w:val="007664A3"/>
    <w:rsid w:val="008C7217"/>
    <w:rsid w:val="009E06BF"/>
    <w:rsid w:val="009E61AF"/>
    <w:rsid w:val="00A31866"/>
    <w:rsid w:val="00A318DC"/>
    <w:rsid w:val="00A54D88"/>
    <w:rsid w:val="00A72670"/>
    <w:rsid w:val="00AF212E"/>
    <w:rsid w:val="00B07D2C"/>
    <w:rsid w:val="00B95855"/>
    <w:rsid w:val="00BE4D0C"/>
    <w:rsid w:val="00C9294C"/>
    <w:rsid w:val="00DA1BB2"/>
    <w:rsid w:val="00DE270C"/>
    <w:rsid w:val="00DF376D"/>
    <w:rsid w:val="00E051A8"/>
    <w:rsid w:val="00E351B7"/>
    <w:rsid w:val="00E459A8"/>
    <w:rsid w:val="00EF29AA"/>
    <w:rsid w:val="00F431D9"/>
    <w:rsid w:val="00FA51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02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022C8"/>
    <w:pPr>
      <w:ind w:left="720"/>
      <w:contextualSpacing/>
    </w:pPr>
  </w:style>
  <w:style w:type="character" w:styleId="Kommentarzeichen">
    <w:name w:val="annotation reference"/>
    <w:basedOn w:val="Absatz-Standardschriftart"/>
    <w:uiPriority w:val="99"/>
    <w:semiHidden/>
    <w:unhideWhenUsed/>
    <w:rsid w:val="002E3E12"/>
    <w:rPr>
      <w:sz w:val="16"/>
      <w:szCs w:val="16"/>
    </w:rPr>
  </w:style>
  <w:style w:type="paragraph" w:styleId="Kommentartext">
    <w:name w:val="annotation text"/>
    <w:basedOn w:val="Standard"/>
    <w:link w:val="KommentartextZchn"/>
    <w:uiPriority w:val="99"/>
    <w:semiHidden/>
    <w:unhideWhenUsed/>
    <w:rsid w:val="002E3E1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3E12"/>
    <w:rPr>
      <w:sz w:val="20"/>
      <w:szCs w:val="20"/>
    </w:rPr>
  </w:style>
  <w:style w:type="paragraph" w:styleId="Kommentarthema">
    <w:name w:val="annotation subject"/>
    <w:basedOn w:val="Kommentartext"/>
    <w:next w:val="Kommentartext"/>
    <w:link w:val="KommentarthemaZchn"/>
    <w:uiPriority w:val="99"/>
    <w:semiHidden/>
    <w:unhideWhenUsed/>
    <w:rsid w:val="002E3E12"/>
    <w:rPr>
      <w:b/>
      <w:bCs/>
    </w:rPr>
  </w:style>
  <w:style w:type="character" w:customStyle="1" w:styleId="KommentarthemaZchn">
    <w:name w:val="Kommentarthema Zchn"/>
    <w:basedOn w:val="KommentartextZchn"/>
    <w:link w:val="Kommentarthema"/>
    <w:uiPriority w:val="99"/>
    <w:semiHidden/>
    <w:rsid w:val="002E3E12"/>
    <w:rPr>
      <w:b/>
      <w:bCs/>
      <w:sz w:val="20"/>
      <w:szCs w:val="20"/>
    </w:rPr>
  </w:style>
  <w:style w:type="paragraph" w:styleId="Sprechblasentext">
    <w:name w:val="Balloon Text"/>
    <w:basedOn w:val="Standard"/>
    <w:link w:val="SprechblasentextZchn"/>
    <w:uiPriority w:val="99"/>
    <w:semiHidden/>
    <w:unhideWhenUsed/>
    <w:rsid w:val="002E3E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3E12"/>
    <w:rPr>
      <w:rFonts w:ascii="Tahoma" w:hAnsi="Tahoma" w:cs="Tahoma"/>
      <w:sz w:val="16"/>
      <w:szCs w:val="16"/>
    </w:rPr>
  </w:style>
  <w:style w:type="paragraph" w:customStyle="1" w:styleId="KMTimesNewRoman8">
    <w:name w:val="KM_TimesNewRoman_8"/>
    <w:basedOn w:val="Standard"/>
    <w:link w:val="KMTimesNewRoman8Zchn"/>
    <w:qFormat/>
    <w:rsid w:val="00FA5106"/>
    <w:pPr>
      <w:tabs>
        <w:tab w:val="center" w:pos="1985"/>
      </w:tabs>
      <w:spacing w:after="0" w:line="240" w:lineRule="auto"/>
      <w:jc w:val="center"/>
    </w:pPr>
    <w:rPr>
      <w:rFonts w:ascii="Times New Roman" w:eastAsia="Calibri" w:hAnsi="Times New Roman" w:cs="Times New Roman"/>
      <w:sz w:val="16"/>
    </w:rPr>
  </w:style>
  <w:style w:type="character" w:customStyle="1" w:styleId="KMTimesNewRoman8Zchn">
    <w:name w:val="KM_TimesNewRoman_8 Zchn"/>
    <w:link w:val="KMTimesNewRoman8"/>
    <w:rsid w:val="00FA5106"/>
    <w:rPr>
      <w:rFonts w:ascii="Times New Roman" w:eastAsia="Calibri" w:hAnsi="Times New Roman" w:cs="Times New Roman"/>
      <w:sz w:val="16"/>
    </w:rPr>
  </w:style>
  <w:style w:type="paragraph" w:styleId="Kopfzeile">
    <w:name w:val="header"/>
    <w:basedOn w:val="Standard"/>
    <w:link w:val="KopfzeileZchn"/>
    <w:uiPriority w:val="99"/>
    <w:unhideWhenUsed/>
    <w:rsid w:val="001948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482F"/>
  </w:style>
  <w:style w:type="paragraph" w:styleId="Fuzeile">
    <w:name w:val="footer"/>
    <w:basedOn w:val="Standard"/>
    <w:link w:val="FuzeileZchn"/>
    <w:uiPriority w:val="99"/>
    <w:unhideWhenUsed/>
    <w:rsid w:val="001948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482F"/>
  </w:style>
  <w:style w:type="paragraph" w:styleId="berarbeitung">
    <w:name w:val="Revision"/>
    <w:hidden/>
    <w:uiPriority w:val="99"/>
    <w:semiHidden/>
    <w:rsid w:val="007271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02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022C8"/>
    <w:pPr>
      <w:ind w:left="720"/>
      <w:contextualSpacing/>
    </w:pPr>
  </w:style>
  <w:style w:type="character" w:styleId="Kommentarzeichen">
    <w:name w:val="annotation reference"/>
    <w:basedOn w:val="Absatz-Standardschriftart"/>
    <w:uiPriority w:val="99"/>
    <w:semiHidden/>
    <w:unhideWhenUsed/>
    <w:rsid w:val="002E3E12"/>
    <w:rPr>
      <w:sz w:val="16"/>
      <w:szCs w:val="16"/>
    </w:rPr>
  </w:style>
  <w:style w:type="paragraph" w:styleId="Kommentartext">
    <w:name w:val="annotation text"/>
    <w:basedOn w:val="Standard"/>
    <w:link w:val="KommentartextZchn"/>
    <w:uiPriority w:val="99"/>
    <w:semiHidden/>
    <w:unhideWhenUsed/>
    <w:rsid w:val="002E3E1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3E12"/>
    <w:rPr>
      <w:sz w:val="20"/>
      <w:szCs w:val="20"/>
    </w:rPr>
  </w:style>
  <w:style w:type="paragraph" w:styleId="Kommentarthema">
    <w:name w:val="annotation subject"/>
    <w:basedOn w:val="Kommentartext"/>
    <w:next w:val="Kommentartext"/>
    <w:link w:val="KommentarthemaZchn"/>
    <w:uiPriority w:val="99"/>
    <w:semiHidden/>
    <w:unhideWhenUsed/>
    <w:rsid w:val="002E3E12"/>
    <w:rPr>
      <w:b/>
      <w:bCs/>
    </w:rPr>
  </w:style>
  <w:style w:type="character" w:customStyle="1" w:styleId="KommentarthemaZchn">
    <w:name w:val="Kommentarthema Zchn"/>
    <w:basedOn w:val="KommentartextZchn"/>
    <w:link w:val="Kommentarthema"/>
    <w:uiPriority w:val="99"/>
    <w:semiHidden/>
    <w:rsid w:val="002E3E12"/>
    <w:rPr>
      <w:b/>
      <w:bCs/>
      <w:sz w:val="20"/>
      <w:szCs w:val="20"/>
    </w:rPr>
  </w:style>
  <w:style w:type="paragraph" w:styleId="Sprechblasentext">
    <w:name w:val="Balloon Text"/>
    <w:basedOn w:val="Standard"/>
    <w:link w:val="SprechblasentextZchn"/>
    <w:uiPriority w:val="99"/>
    <w:semiHidden/>
    <w:unhideWhenUsed/>
    <w:rsid w:val="002E3E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3E12"/>
    <w:rPr>
      <w:rFonts w:ascii="Tahoma" w:hAnsi="Tahoma" w:cs="Tahoma"/>
      <w:sz w:val="16"/>
      <w:szCs w:val="16"/>
    </w:rPr>
  </w:style>
  <w:style w:type="paragraph" w:customStyle="1" w:styleId="KMTimesNewRoman8">
    <w:name w:val="KM_TimesNewRoman_8"/>
    <w:basedOn w:val="Standard"/>
    <w:link w:val="KMTimesNewRoman8Zchn"/>
    <w:qFormat/>
    <w:rsid w:val="00FA5106"/>
    <w:pPr>
      <w:tabs>
        <w:tab w:val="center" w:pos="1985"/>
      </w:tabs>
      <w:spacing w:after="0" w:line="240" w:lineRule="auto"/>
      <w:jc w:val="center"/>
    </w:pPr>
    <w:rPr>
      <w:rFonts w:ascii="Times New Roman" w:eastAsia="Calibri" w:hAnsi="Times New Roman" w:cs="Times New Roman"/>
      <w:sz w:val="16"/>
    </w:rPr>
  </w:style>
  <w:style w:type="character" w:customStyle="1" w:styleId="KMTimesNewRoman8Zchn">
    <w:name w:val="KM_TimesNewRoman_8 Zchn"/>
    <w:link w:val="KMTimesNewRoman8"/>
    <w:rsid w:val="00FA5106"/>
    <w:rPr>
      <w:rFonts w:ascii="Times New Roman" w:eastAsia="Calibri" w:hAnsi="Times New Roman" w:cs="Times New Roman"/>
      <w:sz w:val="16"/>
    </w:rPr>
  </w:style>
  <w:style w:type="paragraph" w:styleId="Kopfzeile">
    <w:name w:val="header"/>
    <w:basedOn w:val="Standard"/>
    <w:link w:val="KopfzeileZchn"/>
    <w:uiPriority w:val="99"/>
    <w:unhideWhenUsed/>
    <w:rsid w:val="001948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482F"/>
  </w:style>
  <w:style w:type="paragraph" w:styleId="Fuzeile">
    <w:name w:val="footer"/>
    <w:basedOn w:val="Standard"/>
    <w:link w:val="FuzeileZchn"/>
    <w:uiPriority w:val="99"/>
    <w:unhideWhenUsed/>
    <w:rsid w:val="001948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482F"/>
  </w:style>
  <w:style w:type="paragraph" w:styleId="berarbeitung">
    <w:name w:val="Revision"/>
    <w:hidden/>
    <w:uiPriority w:val="99"/>
    <w:semiHidden/>
    <w:rsid w:val="007271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583D9-3F4F-40FF-BEFE-0BAA93A9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5544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Burghardt, Manfred (Seminar GYMSoS Freiburg)</cp:lastModifiedBy>
  <cp:revision>3</cp:revision>
  <dcterms:created xsi:type="dcterms:W3CDTF">2014-02-24T11:55:00Z</dcterms:created>
  <dcterms:modified xsi:type="dcterms:W3CDTF">2014-02-24T12:18:00Z</dcterms:modified>
</cp:coreProperties>
</file>